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A8B0" w14:textId="77777777" w:rsidR="00F91B43" w:rsidRDefault="00F91B43">
      <w:pPr>
        <w:pStyle w:val="Normal1"/>
        <w:pBdr>
          <w:top w:val="nil"/>
          <w:left w:val="nil"/>
          <w:bottom w:val="nil"/>
          <w:right w:val="nil"/>
          <w:between w:val="nil"/>
        </w:pBdr>
        <w:jc w:val="both"/>
        <w:rPr>
          <w:b/>
          <w:color w:val="000000"/>
        </w:rPr>
      </w:pPr>
      <w:bookmarkStart w:id="0" w:name="_GoBack"/>
      <w:bookmarkEnd w:id="0"/>
    </w:p>
    <w:p w14:paraId="1E954659" w14:textId="77777777" w:rsidR="00F91B43" w:rsidRDefault="00F91B43">
      <w:pPr>
        <w:pStyle w:val="Normal1"/>
        <w:pBdr>
          <w:top w:val="nil"/>
          <w:left w:val="nil"/>
          <w:bottom w:val="nil"/>
          <w:right w:val="nil"/>
          <w:between w:val="nil"/>
        </w:pBdr>
        <w:jc w:val="both"/>
        <w:rPr>
          <w:b/>
          <w:color w:val="000000"/>
        </w:rPr>
      </w:pPr>
    </w:p>
    <w:p w14:paraId="5FB89913" w14:textId="77777777" w:rsidR="00F91B43" w:rsidRDefault="00F91B43">
      <w:pPr>
        <w:pStyle w:val="Normal1"/>
        <w:pBdr>
          <w:top w:val="nil"/>
          <w:left w:val="nil"/>
          <w:bottom w:val="nil"/>
          <w:right w:val="nil"/>
          <w:between w:val="nil"/>
        </w:pBdr>
        <w:jc w:val="both"/>
        <w:rPr>
          <w:b/>
          <w:color w:val="000000"/>
        </w:rPr>
      </w:pPr>
    </w:p>
    <w:p w14:paraId="47D55873" w14:textId="77777777" w:rsidR="00F91B43" w:rsidRDefault="00F91B43">
      <w:pPr>
        <w:pStyle w:val="Normal1"/>
        <w:pBdr>
          <w:top w:val="nil"/>
          <w:left w:val="nil"/>
          <w:bottom w:val="nil"/>
          <w:right w:val="nil"/>
          <w:between w:val="nil"/>
        </w:pBdr>
        <w:jc w:val="both"/>
        <w:rPr>
          <w:b/>
          <w:color w:val="000000"/>
        </w:rPr>
      </w:pPr>
    </w:p>
    <w:p w14:paraId="5EAF18DB" w14:textId="77777777" w:rsidR="00F91B43" w:rsidRDefault="00F91B43">
      <w:pPr>
        <w:pStyle w:val="Normal1"/>
        <w:pBdr>
          <w:top w:val="nil"/>
          <w:left w:val="nil"/>
          <w:bottom w:val="nil"/>
          <w:right w:val="nil"/>
          <w:between w:val="nil"/>
        </w:pBdr>
        <w:jc w:val="both"/>
        <w:rPr>
          <w:b/>
          <w:color w:val="000000"/>
        </w:rPr>
      </w:pPr>
    </w:p>
    <w:p w14:paraId="7E5964AB" w14:textId="77777777" w:rsidR="00F91B43" w:rsidRDefault="00F91B43">
      <w:pPr>
        <w:pStyle w:val="Normal1"/>
        <w:pBdr>
          <w:top w:val="nil"/>
          <w:left w:val="nil"/>
          <w:bottom w:val="nil"/>
          <w:right w:val="nil"/>
          <w:between w:val="nil"/>
        </w:pBdr>
        <w:jc w:val="both"/>
        <w:rPr>
          <w:b/>
          <w:color w:val="000000"/>
        </w:rPr>
      </w:pPr>
    </w:p>
    <w:p w14:paraId="4677EF87" w14:textId="77777777" w:rsidR="00F91B43" w:rsidRDefault="00F91B43">
      <w:pPr>
        <w:pStyle w:val="Normal1"/>
        <w:pBdr>
          <w:top w:val="nil"/>
          <w:left w:val="nil"/>
          <w:bottom w:val="nil"/>
          <w:right w:val="nil"/>
          <w:between w:val="nil"/>
        </w:pBdr>
        <w:jc w:val="both"/>
        <w:rPr>
          <w:b/>
          <w:color w:val="000000"/>
        </w:rPr>
      </w:pPr>
    </w:p>
    <w:p w14:paraId="022CEE2E" w14:textId="77777777" w:rsidR="00F91B43" w:rsidRPr="00126288" w:rsidRDefault="008267C3">
      <w:pPr>
        <w:pStyle w:val="Title"/>
        <w:contextualSpacing w:val="0"/>
        <w:rPr>
          <w:rFonts w:ascii="Times" w:eastAsia="Times" w:hAnsi="Times" w:cs="Times"/>
          <w:smallCaps w:val="0"/>
          <w:color w:val="1F497D" w:themeColor="text2"/>
        </w:rPr>
      </w:pPr>
      <w:r w:rsidRPr="00126288">
        <w:rPr>
          <w:smallCaps w:val="0"/>
          <w:color w:val="1F497D" w:themeColor="text2"/>
        </w:rPr>
        <w:t>Supporting increased participation and equity in work-integrated learning in British Columbia:</w:t>
      </w:r>
    </w:p>
    <w:p w14:paraId="10BA0FEA" w14:textId="77777777" w:rsidR="00F91B43" w:rsidRPr="00126288" w:rsidRDefault="008267C3">
      <w:pPr>
        <w:pStyle w:val="Subtitle"/>
        <w:rPr>
          <w:i w:val="0"/>
          <w:smallCaps w:val="0"/>
          <w:sz w:val="34"/>
          <w:szCs w:val="34"/>
        </w:rPr>
      </w:pPr>
      <w:r w:rsidRPr="00126288">
        <w:rPr>
          <w:i w:val="0"/>
          <w:smallCaps w:val="0"/>
          <w:sz w:val="34"/>
          <w:szCs w:val="34"/>
        </w:rPr>
        <w:t xml:space="preserve">Strategies to support small and medium sized enterprises, students with disabilities, and Indigenous students </w:t>
      </w:r>
    </w:p>
    <w:p w14:paraId="4D013623" w14:textId="77777777" w:rsidR="00F91B43" w:rsidRDefault="00F91B43">
      <w:pPr>
        <w:pStyle w:val="Normal1"/>
        <w:rPr>
          <w:sz w:val="36"/>
          <w:szCs w:val="36"/>
        </w:rPr>
      </w:pPr>
    </w:p>
    <w:p w14:paraId="4286BB0D" w14:textId="77777777" w:rsidR="00F91B43" w:rsidRDefault="00F91B43">
      <w:pPr>
        <w:pStyle w:val="Normal1"/>
      </w:pPr>
    </w:p>
    <w:p w14:paraId="45C2AF80" w14:textId="77777777" w:rsidR="00F91B43" w:rsidRDefault="00F91B43">
      <w:pPr>
        <w:pStyle w:val="Normal1"/>
      </w:pPr>
    </w:p>
    <w:p w14:paraId="58D389CE" w14:textId="77777777" w:rsidR="00F91B43" w:rsidRDefault="008267C3">
      <w:pPr>
        <w:pStyle w:val="Normal1"/>
        <w:pBdr>
          <w:top w:val="nil"/>
          <w:left w:val="nil"/>
          <w:bottom w:val="nil"/>
          <w:right w:val="nil"/>
          <w:between w:val="nil"/>
        </w:pBdr>
        <w:jc w:val="center"/>
        <w:rPr>
          <w:color w:val="000000"/>
          <w:sz w:val="25"/>
          <w:szCs w:val="25"/>
        </w:rPr>
      </w:pPr>
      <w:r>
        <w:rPr>
          <w:color w:val="000000"/>
          <w:sz w:val="25"/>
          <w:szCs w:val="25"/>
        </w:rPr>
        <w:t>A report prepared for the Association for Co-operative Education and Work Integrated Learning BC/Yukon (ACE WIL BC/Yukon), and the Accreditation Council of Co-operative Education and Work Integrated Learning BC (ACCE WIL BC)</w:t>
      </w:r>
    </w:p>
    <w:p w14:paraId="465A888A" w14:textId="77777777" w:rsidR="00F91B43" w:rsidRDefault="00F91B43">
      <w:pPr>
        <w:pStyle w:val="Normal1"/>
        <w:pBdr>
          <w:top w:val="nil"/>
          <w:left w:val="nil"/>
          <w:bottom w:val="nil"/>
          <w:right w:val="nil"/>
          <w:between w:val="nil"/>
        </w:pBdr>
        <w:jc w:val="both"/>
        <w:rPr>
          <w:b/>
          <w:color w:val="000000"/>
        </w:rPr>
      </w:pPr>
    </w:p>
    <w:p w14:paraId="1A34F4C5" w14:textId="77777777" w:rsidR="00F91B43" w:rsidRPr="00126288" w:rsidRDefault="008267C3">
      <w:pPr>
        <w:pStyle w:val="Normal1"/>
        <w:pBdr>
          <w:top w:val="nil"/>
          <w:left w:val="nil"/>
          <w:bottom w:val="nil"/>
          <w:right w:val="nil"/>
          <w:between w:val="nil"/>
        </w:pBdr>
        <w:spacing w:after="360"/>
        <w:jc w:val="center"/>
        <w:rPr>
          <w:color w:val="000000"/>
          <w:sz w:val="25"/>
          <w:szCs w:val="25"/>
        </w:rPr>
      </w:pPr>
      <w:r w:rsidRPr="00126288">
        <w:rPr>
          <w:color w:val="000000"/>
          <w:sz w:val="25"/>
          <w:szCs w:val="25"/>
        </w:rPr>
        <w:t>Elisha Connell</w:t>
      </w:r>
    </w:p>
    <w:p w14:paraId="5AF8B1CB" w14:textId="75CCE840" w:rsidR="00696993" w:rsidRPr="00696993" w:rsidRDefault="004E6CD5" w:rsidP="00696993">
      <w:pPr>
        <w:pStyle w:val="Normal1"/>
        <w:pBdr>
          <w:top w:val="nil"/>
          <w:left w:val="nil"/>
          <w:bottom w:val="nil"/>
          <w:right w:val="nil"/>
          <w:between w:val="nil"/>
        </w:pBdr>
        <w:jc w:val="center"/>
        <w:rPr>
          <w:color w:val="000000"/>
          <w:sz w:val="25"/>
          <w:szCs w:val="25"/>
        </w:rPr>
        <w:sectPr w:rsidR="00696993" w:rsidRPr="00696993">
          <w:footerReference w:type="even" r:id="rId8"/>
          <w:footerReference w:type="default" r:id="rId9"/>
          <w:pgSz w:w="12240" w:h="15840"/>
          <w:pgMar w:top="1440" w:right="1800" w:bottom="1440" w:left="1559" w:header="708" w:footer="708" w:gutter="0"/>
          <w:pgNumType w:start="1"/>
          <w:cols w:space="720"/>
          <w:titlePg/>
        </w:sectPr>
      </w:pPr>
      <w:r>
        <w:rPr>
          <w:color w:val="000000"/>
          <w:sz w:val="25"/>
          <w:szCs w:val="25"/>
        </w:rPr>
        <w:t>November 2018</w:t>
      </w:r>
    </w:p>
    <w:p w14:paraId="7DFF8083" w14:textId="77777777" w:rsidR="00F91B43" w:rsidRPr="004E6CD5" w:rsidRDefault="00F91B43" w:rsidP="00696993">
      <w:pPr>
        <w:pStyle w:val="Normal1"/>
        <w:pBdr>
          <w:top w:val="nil"/>
          <w:left w:val="nil"/>
          <w:bottom w:val="nil"/>
          <w:right w:val="nil"/>
          <w:between w:val="nil"/>
        </w:pBdr>
        <w:rPr>
          <w:color w:val="000000"/>
          <w:sz w:val="6"/>
          <w:szCs w:val="6"/>
        </w:rPr>
      </w:pPr>
    </w:p>
    <w:sdt>
      <w:sdtPr>
        <w:rPr>
          <w:b w:val="0"/>
          <w:bCs w:val="0"/>
          <w:color w:val="auto"/>
          <w:sz w:val="22"/>
          <w:szCs w:val="22"/>
        </w:rPr>
        <w:id w:val="884301333"/>
        <w:docPartObj>
          <w:docPartGallery w:val="Table of Contents"/>
          <w:docPartUnique/>
        </w:docPartObj>
      </w:sdtPr>
      <w:sdtEndPr>
        <w:rPr>
          <w:noProof/>
        </w:rPr>
      </w:sdtEndPr>
      <w:sdtContent>
        <w:p w14:paraId="528A282A" w14:textId="248639AB" w:rsidR="007D1948" w:rsidRPr="00B82486" w:rsidRDefault="007D1948" w:rsidP="00B82486">
          <w:pPr>
            <w:pStyle w:val="HeadingE1"/>
          </w:pPr>
          <w:r w:rsidRPr="00B82486">
            <w:t>Contents</w:t>
          </w:r>
        </w:p>
        <w:p w14:paraId="596062DF" w14:textId="6ED8BDBD" w:rsidR="00B82486" w:rsidRPr="00B82486" w:rsidRDefault="007D1948">
          <w:pPr>
            <w:pStyle w:val="TOC1"/>
            <w:tabs>
              <w:tab w:val="right" w:leader="dot" w:pos="8871"/>
            </w:tabs>
            <w:rPr>
              <w:rFonts w:asciiTheme="majorHAnsi" w:eastAsiaTheme="minorEastAsia" w:hAnsiTheme="majorHAnsi" w:cstheme="minorBidi"/>
              <w:b w:val="0"/>
              <w:caps w:val="0"/>
              <w:noProof/>
              <w:sz w:val="24"/>
              <w:szCs w:val="24"/>
              <w:lang w:val="en-CA" w:eastAsia="ja-JP"/>
            </w:rPr>
          </w:pPr>
          <w:r w:rsidRPr="007D1948">
            <w:rPr>
              <w:rFonts w:asciiTheme="majorHAnsi" w:hAnsiTheme="majorHAnsi"/>
              <w:b w:val="0"/>
            </w:rPr>
            <w:fldChar w:fldCharType="begin"/>
          </w:r>
          <w:r w:rsidRPr="007D1948">
            <w:rPr>
              <w:rFonts w:asciiTheme="majorHAnsi" w:hAnsiTheme="majorHAnsi"/>
            </w:rPr>
            <w:instrText xml:space="preserve"> TOC \o "1-3" \h \z \u </w:instrText>
          </w:r>
          <w:r w:rsidRPr="007D1948">
            <w:rPr>
              <w:rFonts w:asciiTheme="majorHAnsi" w:hAnsiTheme="majorHAnsi"/>
              <w:b w:val="0"/>
            </w:rPr>
            <w:fldChar w:fldCharType="separate"/>
          </w:r>
          <w:r w:rsidR="00B82486" w:rsidRPr="00B82486">
            <w:rPr>
              <w:rFonts w:asciiTheme="majorHAnsi" w:hAnsiTheme="majorHAnsi"/>
              <w:caps w:val="0"/>
              <w:noProof/>
            </w:rPr>
            <w:t>Executive Summary</w:t>
          </w:r>
          <w:r w:rsidR="00B82486" w:rsidRPr="00B82486">
            <w:rPr>
              <w:rFonts w:asciiTheme="majorHAnsi" w:hAnsiTheme="majorHAnsi"/>
              <w:caps w:val="0"/>
              <w:noProof/>
            </w:rPr>
            <w:tab/>
          </w:r>
          <w:r w:rsidR="00B82486" w:rsidRPr="00B82486">
            <w:rPr>
              <w:rFonts w:asciiTheme="majorHAnsi" w:hAnsiTheme="majorHAnsi"/>
              <w:caps w:val="0"/>
              <w:noProof/>
            </w:rPr>
            <w:fldChar w:fldCharType="begin"/>
          </w:r>
          <w:r w:rsidR="00B82486" w:rsidRPr="00B82486">
            <w:rPr>
              <w:rFonts w:asciiTheme="majorHAnsi" w:hAnsiTheme="majorHAnsi"/>
              <w:caps w:val="0"/>
              <w:noProof/>
            </w:rPr>
            <w:instrText xml:space="preserve"> PAGEREF _Toc403133194 \h </w:instrText>
          </w:r>
          <w:r w:rsidR="00B82486" w:rsidRPr="00B82486">
            <w:rPr>
              <w:rFonts w:asciiTheme="majorHAnsi" w:hAnsiTheme="majorHAnsi"/>
              <w:caps w:val="0"/>
              <w:noProof/>
            </w:rPr>
          </w:r>
          <w:r w:rsidR="00B82486" w:rsidRPr="00B82486">
            <w:rPr>
              <w:rFonts w:asciiTheme="majorHAnsi" w:hAnsiTheme="majorHAnsi"/>
              <w:caps w:val="0"/>
              <w:noProof/>
            </w:rPr>
            <w:fldChar w:fldCharType="separate"/>
          </w:r>
          <w:r w:rsidR="00B106A0">
            <w:rPr>
              <w:rFonts w:asciiTheme="majorHAnsi" w:hAnsiTheme="majorHAnsi"/>
              <w:caps w:val="0"/>
              <w:noProof/>
            </w:rPr>
            <w:t>2</w:t>
          </w:r>
          <w:r w:rsidR="00B82486" w:rsidRPr="00B82486">
            <w:rPr>
              <w:rFonts w:asciiTheme="majorHAnsi" w:hAnsiTheme="majorHAnsi"/>
              <w:caps w:val="0"/>
              <w:noProof/>
            </w:rPr>
            <w:fldChar w:fldCharType="end"/>
          </w:r>
        </w:p>
        <w:p w14:paraId="61BDD8DB" w14:textId="28F58BC3"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Introduction</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_Toc403133195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4</w:t>
          </w:r>
          <w:r w:rsidRPr="00B82486">
            <w:rPr>
              <w:rFonts w:asciiTheme="majorHAnsi" w:hAnsiTheme="majorHAnsi"/>
              <w:caps w:val="0"/>
              <w:noProof/>
            </w:rPr>
            <w:fldChar w:fldCharType="end"/>
          </w:r>
        </w:p>
        <w:p w14:paraId="4B352D36" w14:textId="5B59CAD7"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Overview of policy need</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_Toc403133196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5</w:t>
          </w:r>
          <w:r w:rsidRPr="00B82486">
            <w:rPr>
              <w:rFonts w:asciiTheme="majorHAnsi" w:hAnsiTheme="majorHAnsi"/>
              <w:caps w:val="0"/>
              <w:noProof/>
            </w:rPr>
            <w:fldChar w:fldCharType="end"/>
          </w:r>
        </w:p>
        <w:p w14:paraId="521460C9" w14:textId="68DF6CBC"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Literature review</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_Toc403133197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6</w:t>
          </w:r>
          <w:r w:rsidRPr="00B82486">
            <w:rPr>
              <w:rFonts w:asciiTheme="majorHAnsi" w:hAnsiTheme="majorHAnsi"/>
              <w:caps w:val="0"/>
              <w:noProof/>
            </w:rPr>
            <w:fldChar w:fldCharType="end"/>
          </w:r>
        </w:p>
        <w:p w14:paraId="72D1D5A2" w14:textId="6F697A59"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bCs/>
              <w:smallCaps w:val="0"/>
              <w:noProof/>
              <w:spacing w:val="5"/>
            </w:rPr>
            <w:t>Employer participation in WIL programs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_Toc403133198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6</w:t>
          </w:r>
          <w:r w:rsidRPr="00B82486">
            <w:rPr>
              <w:rFonts w:asciiTheme="majorHAnsi" w:hAnsiTheme="majorHAnsi"/>
              <w:smallCaps w:val="0"/>
              <w:noProof/>
            </w:rPr>
            <w:fldChar w:fldCharType="end"/>
          </w:r>
        </w:p>
        <w:p w14:paraId="76FDA727" w14:textId="3970B781"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4A1601">
            <w:rPr>
              <w:rFonts w:asciiTheme="majorHAnsi" w:hAnsiTheme="majorHAnsi"/>
              <w:smallCaps w:val="0"/>
              <w:noProof/>
              <w:spacing w:val="5"/>
            </w:rPr>
            <w:t>Accessibility of WIL programs to different types of learners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_Toc403133199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8</w:t>
          </w:r>
          <w:r w:rsidRPr="00B82486">
            <w:rPr>
              <w:rFonts w:asciiTheme="majorHAnsi" w:hAnsiTheme="majorHAnsi"/>
              <w:smallCaps w:val="0"/>
              <w:noProof/>
            </w:rPr>
            <w:fldChar w:fldCharType="end"/>
          </w:r>
        </w:p>
        <w:p w14:paraId="7C027462" w14:textId="1302B5B3" w:rsidR="00B82486" w:rsidRPr="00B82486" w:rsidRDefault="00B82486" w:rsidP="00C35427">
          <w:pPr>
            <w:pStyle w:val="TOC2"/>
            <w:numPr>
              <w:ilvl w:val="0"/>
              <w:numId w:val="41"/>
            </w:numPr>
            <w:tabs>
              <w:tab w:val="right" w:leader="dot" w:pos="8871"/>
            </w:tabs>
            <w:ind w:left="567" w:hanging="283"/>
            <w:rPr>
              <w:rFonts w:asciiTheme="majorHAnsi" w:eastAsiaTheme="minorEastAsia" w:hAnsiTheme="majorHAnsi" w:cstheme="minorBidi"/>
              <w:smallCaps w:val="0"/>
              <w:noProof/>
              <w:sz w:val="24"/>
              <w:szCs w:val="24"/>
              <w:lang w:val="en-CA" w:eastAsia="ja-JP"/>
            </w:rPr>
          </w:pPr>
          <w:r w:rsidRPr="00B82486">
            <w:rPr>
              <w:rFonts w:asciiTheme="majorHAnsi" w:hAnsiTheme="majorHAnsi"/>
              <w:bCs/>
              <w:smallCaps w:val="0"/>
              <w:noProof/>
              <w:spacing w:val="5"/>
            </w:rPr>
            <w:t>Students with disabilities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_Toc403133200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8</w:t>
          </w:r>
          <w:r w:rsidRPr="00B82486">
            <w:rPr>
              <w:rFonts w:asciiTheme="majorHAnsi" w:hAnsiTheme="majorHAnsi"/>
              <w:smallCaps w:val="0"/>
              <w:noProof/>
            </w:rPr>
            <w:fldChar w:fldCharType="end"/>
          </w:r>
        </w:p>
        <w:p w14:paraId="0537BF21" w14:textId="4F8E011C" w:rsidR="00B82486" w:rsidRPr="00B82486" w:rsidRDefault="00B82486" w:rsidP="00C35427">
          <w:pPr>
            <w:pStyle w:val="TOC2"/>
            <w:numPr>
              <w:ilvl w:val="0"/>
              <w:numId w:val="42"/>
            </w:numPr>
            <w:tabs>
              <w:tab w:val="right" w:leader="dot" w:pos="8871"/>
            </w:tabs>
            <w:ind w:left="567" w:hanging="283"/>
            <w:rPr>
              <w:rFonts w:asciiTheme="majorHAnsi" w:eastAsiaTheme="minorEastAsia" w:hAnsiTheme="majorHAnsi" w:cstheme="minorBidi"/>
              <w:smallCaps w:val="0"/>
              <w:noProof/>
              <w:sz w:val="24"/>
              <w:szCs w:val="24"/>
              <w:lang w:val="en-CA" w:eastAsia="ja-JP"/>
            </w:rPr>
          </w:pPr>
          <w:r w:rsidRPr="00B82486">
            <w:rPr>
              <w:rFonts w:asciiTheme="majorHAnsi" w:hAnsiTheme="majorHAnsi"/>
              <w:bCs/>
              <w:smallCaps w:val="0"/>
              <w:noProof/>
              <w:spacing w:val="5"/>
            </w:rPr>
            <w:t>Indigenous students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_Toc403133201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11</w:t>
          </w:r>
          <w:r w:rsidRPr="00B82486">
            <w:rPr>
              <w:rFonts w:asciiTheme="majorHAnsi" w:hAnsiTheme="majorHAnsi"/>
              <w:smallCaps w:val="0"/>
              <w:noProof/>
            </w:rPr>
            <w:fldChar w:fldCharType="end"/>
          </w:r>
        </w:p>
        <w:p w14:paraId="46ABFB47" w14:textId="063F32E0"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bCs/>
              <w:caps w:val="0"/>
              <w:noProof/>
            </w:rPr>
            <w:t>Comparative analysis</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_Toc403133202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13</w:t>
          </w:r>
          <w:r w:rsidRPr="00B82486">
            <w:rPr>
              <w:rFonts w:asciiTheme="majorHAnsi" w:hAnsiTheme="majorHAnsi"/>
              <w:caps w:val="0"/>
              <w:noProof/>
            </w:rPr>
            <w:fldChar w:fldCharType="end"/>
          </w:r>
        </w:p>
        <w:p w14:paraId="4ED3A5AA" w14:textId="3677148D"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Supports for work-integrated learning across Canada</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_Toc403133203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13</w:t>
          </w:r>
          <w:r w:rsidRPr="00B82486">
            <w:rPr>
              <w:rFonts w:asciiTheme="majorHAnsi" w:hAnsiTheme="majorHAnsi"/>
              <w:smallCaps w:val="0"/>
              <w:noProof/>
            </w:rPr>
            <w:fldChar w:fldCharType="end"/>
          </w:r>
        </w:p>
        <w:p w14:paraId="2887408D" w14:textId="1762A33A"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bCs/>
              <w:smallCaps w:val="0"/>
              <w:noProof/>
              <w:spacing w:val="5"/>
            </w:rPr>
            <w:t>Canadian promising practices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_Toc403133204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21</w:t>
          </w:r>
          <w:r w:rsidRPr="00B82486">
            <w:rPr>
              <w:rFonts w:asciiTheme="majorHAnsi" w:hAnsiTheme="majorHAnsi"/>
              <w:smallCaps w:val="0"/>
              <w:noProof/>
            </w:rPr>
            <w:fldChar w:fldCharType="end"/>
          </w:r>
        </w:p>
        <w:p w14:paraId="67C43A3C" w14:textId="6988470A"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WIL programs from overseas: Case Study – Australia</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_Toc403133205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25</w:t>
          </w:r>
          <w:r w:rsidRPr="00B82486">
            <w:rPr>
              <w:rFonts w:asciiTheme="majorHAnsi" w:hAnsiTheme="majorHAnsi"/>
              <w:smallCaps w:val="0"/>
              <w:noProof/>
            </w:rPr>
            <w:fldChar w:fldCharType="end"/>
          </w:r>
        </w:p>
        <w:p w14:paraId="6DFB07E8" w14:textId="051DC34B"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Analysis and recommendations</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_Toc403133206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28</w:t>
          </w:r>
          <w:r w:rsidRPr="00B82486">
            <w:rPr>
              <w:rFonts w:asciiTheme="majorHAnsi" w:hAnsiTheme="majorHAnsi"/>
              <w:caps w:val="0"/>
              <w:noProof/>
            </w:rPr>
            <w:fldChar w:fldCharType="end"/>
          </w:r>
        </w:p>
        <w:p w14:paraId="526B2FA3" w14:textId="79AD82F0"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WIL participation: Employers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_Toc403133207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28</w:t>
          </w:r>
          <w:r w:rsidRPr="00B82486">
            <w:rPr>
              <w:rFonts w:asciiTheme="majorHAnsi" w:hAnsiTheme="majorHAnsi"/>
              <w:smallCaps w:val="0"/>
              <w:noProof/>
            </w:rPr>
            <w:fldChar w:fldCharType="end"/>
          </w:r>
        </w:p>
        <w:p w14:paraId="750F70D4" w14:textId="5FD605BB"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WIL participation: Students with disabilities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_Toc403133208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30</w:t>
          </w:r>
          <w:r w:rsidRPr="00B82486">
            <w:rPr>
              <w:rFonts w:asciiTheme="majorHAnsi" w:hAnsiTheme="majorHAnsi"/>
              <w:smallCaps w:val="0"/>
              <w:noProof/>
            </w:rPr>
            <w:fldChar w:fldCharType="end"/>
          </w:r>
        </w:p>
        <w:p w14:paraId="6C687571" w14:textId="0B0B51BA"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WIL participation: Indigenous students</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_Toc403133209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31</w:t>
          </w:r>
          <w:r w:rsidRPr="00B82486">
            <w:rPr>
              <w:rFonts w:asciiTheme="majorHAnsi" w:hAnsiTheme="majorHAnsi"/>
              <w:smallCaps w:val="0"/>
              <w:noProof/>
            </w:rPr>
            <w:fldChar w:fldCharType="end"/>
          </w:r>
        </w:p>
        <w:p w14:paraId="7E6E56C6" w14:textId="75C06D58"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References</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_Toc403133210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33</w:t>
          </w:r>
          <w:r w:rsidRPr="00B82486">
            <w:rPr>
              <w:rFonts w:asciiTheme="majorHAnsi" w:hAnsiTheme="majorHAnsi"/>
              <w:caps w:val="0"/>
              <w:noProof/>
            </w:rPr>
            <w:fldChar w:fldCharType="end"/>
          </w:r>
        </w:p>
        <w:p w14:paraId="6A03EB54" w14:textId="2F060625" w:rsidR="00B82486" w:rsidRPr="00B82486" w:rsidRDefault="00B82486">
          <w:pPr>
            <w:pStyle w:val="TOC1"/>
            <w:tabs>
              <w:tab w:val="right" w:leader="dot" w:pos="8871"/>
            </w:tabs>
            <w:rPr>
              <w:rFonts w:asciiTheme="majorHAnsi" w:eastAsiaTheme="minorEastAsia" w:hAnsiTheme="majorHAnsi" w:cstheme="minorBidi"/>
              <w:b w:val="0"/>
              <w:caps w:val="0"/>
              <w:noProof/>
              <w:sz w:val="24"/>
              <w:szCs w:val="24"/>
              <w:lang w:val="en-CA" w:eastAsia="ja-JP"/>
            </w:rPr>
          </w:pPr>
          <w:r w:rsidRPr="00B82486">
            <w:rPr>
              <w:rFonts w:asciiTheme="majorHAnsi" w:hAnsiTheme="majorHAnsi"/>
              <w:caps w:val="0"/>
              <w:noProof/>
            </w:rPr>
            <w:t>Appendices</w:t>
          </w:r>
          <w:r w:rsidRPr="00B82486">
            <w:rPr>
              <w:rFonts w:asciiTheme="majorHAnsi" w:hAnsiTheme="majorHAnsi"/>
              <w:caps w:val="0"/>
              <w:noProof/>
            </w:rPr>
            <w:tab/>
          </w:r>
          <w:r w:rsidRPr="00B82486">
            <w:rPr>
              <w:rFonts w:asciiTheme="majorHAnsi" w:hAnsiTheme="majorHAnsi"/>
              <w:caps w:val="0"/>
              <w:noProof/>
            </w:rPr>
            <w:fldChar w:fldCharType="begin"/>
          </w:r>
          <w:r w:rsidRPr="00B82486">
            <w:rPr>
              <w:rFonts w:asciiTheme="majorHAnsi" w:hAnsiTheme="majorHAnsi"/>
              <w:caps w:val="0"/>
              <w:noProof/>
            </w:rPr>
            <w:instrText xml:space="preserve"> PAGEREF _Toc403133211 \h </w:instrText>
          </w:r>
          <w:r w:rsidRPr="00B82486">
            <w:rPr>
              <w:rFonts w:asciiTheme="majorHAnsi" w:hAnsiTheme="majorHAnsi"/>
              <w:caps w:val="0"/>
              <w:noProof/>
            </w:rPr>
          </w:r>
          <w:r w:rsidRPr="00B82486">
            <w:rPr>
              <w:rFonts w:asciiTheme="majorHAnsi" w:hAnsiTheme="majorHAnsi"/>
              <w:caps w:val="0"/>
              <w:noProof/>
            </w:rPr>
            <w:fldChar w:fldCharType="separate"/>
          </w:r>
          <w:r w:rsidR="00B106A0">
            <w:rPr>
              <w:rFonts w:asciiTheme="majorHAnsi" w:hAnsiTheme="majorHAnsi"/>
              <w:caps w:val="0"/>
              <w:noProof/>
            </w:rPr>
            <w:t>41</w:t>
          </w:r>
          <w:r w:rsidRPr="00B82486">
            <w:rPr>
              <w:rFonts w:asciiTheme="majorHAnsi" w:hAnsiTheme="majorHAnsi"/>
              <w:caps w:val="0"/>
              <w:noProof/>
            </w:rPr>
            <w:fldChar w:fldCharType="end"/>
          </w:r>
        </w:p>
        <w:p w14:paraId="3367EA08" w14:textId="7F133AB1"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Appendix A – CEWIL WIL definition</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_Toc403133212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41</w:t>
          </w:r>
          <w:r w:rsidRPr="00B82486">
            <w:rPr>
              <w:rFonts w:asciiTheme="majorHAnsi" w:hAnsiTheme="majorHAnsi"/>
              <w:smallCaps w:val="0"/>
              <w:noProof/>
            </w:rPr>
            <w:fldChar w:fldCharType="end"/>
          </w:r>
        </w:p>
        <w:p w14:paraId="3489F9B1" w14:textId="168F047D" w:rsidR="00B82486" w:rsidRPr="00B82486" w:rsidRDefault="00B82486">
          <w:pPr>
            <w:pStyle w:val="TOC2"/>
            <w:tabs>
              <w:tab w:val="right" w:leader="dot" w:pos="8871"/>
            </w:tabs>
            <w:rPr>
              <w:rFonts w:asciiTheme="majorHAnsi" w:eastAsiaTheme="minorEastAsia" w:hAnsiTheme="majorHAnsi" w:cstheme="minorBidi"/>
              <w:smallCaps w:val="0"/>
              <w:noProof/>
              <w:sz w:val="24"/>
              <w:szCs w:val="24"/>
              <w:lang w:val="en-CA" w:eastAsia="ja-JP"/>
            </w:rPr>
          </w:pPr>
          <w:r w:rsidRPr="00B82486">
            <w:rPr>
              <w:rFonts w:asciiTheme="majorHAnsi" w:hAnsiTheme="majorHAnsi"/>
              <w:smallCaps w:val="0"/>
              <w:noProof/>
            </w:rPr>
            <w:t>Appendix B – BHER WIL definition</w:t>
          </w:r>
          <w:r w:rsidRPr="00B82486">
            <w:rPr>
              <w:rFonts w:asciiTheme="majorHAnsi" w:hAnsiTheme="majorHAnsi"/>
              <w:smallCaps w:val="0"/>
              <w:noProof/>
            </w:rPr>
            <w:tab/>
          </w:r>
          <w:r w:rsidRPr="00B82486">
            <w:rPr>
              <w:rFonts w:asciiTheme="majorHAnsi" w:hAnsiTheme="majorHAnsi"/>
              <w:smallCaps w:val="0"/>
              <w:noProof/>
            </w:rPr>
            <w:fldChar w:fldCharType="begin"/>
          </w:r>
          <w:r w:rsidRPr="00B82486">
            <w:rPr>
              <w:rFonts w:asciiTheme="majorHAnsi" w:hAnsiTheme="majorHAnsi"/>
              <w:smallCaps w:val="0"/>
              <w:noProof/>
            </w:rPr>
            <w:instrText xml:space="preserve"> PAGEREF _Toc403133213 \h </w:instrText>
          </w:r>
          <w:r w:rsidRPr="00B82486">
            <w:rPr>
              <w:rFonts w:asciiTheme="majorHAnsi" w:hAnsiTheme="majorHAnsi"/>
              <w:smallCaps w:val="0"/>
              <w:noProof/>
            </w:rPr>
          </w:r>
          <w:r w:rsidRPr="00B82486">
            <w:rPr>
              <w:rFonts w:asciiTheme="majorHAnsi" w:hAnsiTheme="majorHAnsi"/>
              <w:smallCaps w:val="0"/>
              <w:noProof/>
            </w:rPr>
            <w:fldChar w:fldCharType="separate"/>
          </w:r>
          <w:r w:rsidR="00B106A0">
            <w:rPr>
              <w:rFonts w:asciiTheme="majorHAnsi" w:hAnsiTheme="majorHAnsi"/>
              <w:smallCaps w:val="0"/>
              <w:noProof/>
            </w:rPr>
            <w:t>42</w:t>
          </w:r>
          <w:r w:rsidRPr="00B82486">
            <w:rPr>
              <w:rFonts w:asciiTheme="majorHAnsi" w:hAnsiTheme="majorHAnsi"/>
              <w:smallCaps w:val="0"/>
              <w:noProof/>
            </w:rPr>
            <w:fldChar w:fldCharType="end"/>
          </w:r>
        </w:p>
        <w:p w14:paraId="1933C800" w14:textId="43F9345E" w:rsidR="007D1948" w:rsidRPr="007D1948" w:rsidRDefault="007D1948">
          <w:r w:rsidRPr="007D1948">
            <w:rPr>
              <w:rFonts w:asciiTheme="majorHAnsi" w:hAnsiTheme="majorHAnsi"/>
              <w:b/>
              <w:bCs/>
              <w:noProof/>
            </w:rPr>
            <w:fldChar w:fldCharType="end"/>
          </w:r>
        </w:p>
      </w:sdtContent>
    </w:sdt>
    <w:p w14:paraId="55E34D92" w14:textId="77777777" w:rsidR="0058176A" w:rsidRDefault="0058176A">
      <w:pPr>
        <w:rPr>
          <w:b/>
          <w:bCs/>
          <w:color w:val="1F497D" w:themeColor="text2"/>
          <w:sz w:val="28"/>
          <w:szCs w:val="28"/>
        </w:rPr>
      </w:pPr>
      <w:bookmarkStart w:id="1" w:name="_h0npuje6hnvo" w:colFirst="0" w:colLast="0"/>
      <w:bookmarkStart w:id="2" w:name="_Toc403133194"/>
      <w:bookmarkEnd w:id="1"/>
      <w:r>
        <w:br w:type="page"/>
      </w:r>
    </w:p>
    <w:p w14:paraId="7015C685" w14:textId="34590360" w:rsidR="00F91B43" w:rsidRDefault="008267C3" w:rsidP="00B82486">
      <w:pPr>
        <w:pStyle w:val="HeadingE1"/>
      </w:pPr>
      <w:r>
        <w:lastRenderedPageBreak/>
        <w:t xml:space="preserve">Executive </w:t>
      </w:r>
      <w:r w:rsidRPr="00B82486">
        <w:t>Summary</w:t>
      </w:r>
      <w:bookmarkEnd w:id="2"/>
    </w:p>
    <w:p w14:paraId="0E6DC30C" w14:textId="6724E27D" w:rsidR="00F91B43" w:rsidRDefault="008267C3">
      <w:pPr>
        <w:pStyle w:val="Normal1"/>
        <w:pBdr>
          <w:top w:val="nil"/>
          <w:left w:val="nil"/>
          <w:bottom w:val="nil"/>
          <w:right w:val="nil"/>
          <w:between w:val="nil"/>
        </w:pBdr>
        <w:jc w:val="both"/>
        <w:rPr>
          <w:color w:val="000000"/>
        </w:rPr>
      </w:pPr>
      <w:r>
        <w:rPr>
          <w:color w:val="000000"/>
        </w:rPr>
        <w:t xml:space="preserve">Work-integrated learning (WIL) programs, which </w:t>
      </w:r>
      <w:r w:rsidR="00554B6B">
        <w:rPr>
          <w:color w:val="000000"/>
        </w:rPr>
        <w:t>include co-op, clinical placements, internships and more</w:t>
      </w:r>
      <w:r>
        <w:rPr>
          <w:color w:val="000000"/>
        </w:rPr>
        <w:t xml:space="preserve">, are well recognized for providing mutual benefits to post-secondary students, employers, educational institutions and the provincial economy. Through participating in WIL, students gain skills </w:t>
      </w:r>
      <w:r w:rsidRPr="00554B6B">
        <w:t xml:space="preserve">expected by particular industries and the opportunity to improve their competitive positioning as they enter the labour market. For business and industry partners, WIL is recognized as an essential component to building a highly skilled </w:t>
      </w:r>
      <w:r>
        <w:rPr>
          <w:color w:val="000000"/>
        </w:rPr>
        <w:t xml:space="preserve">and productive labour force. </w:t>
      </w:r>
    </w:p>
    <w:p w14:paraId="23E05809" w14:textId="77777777" w:rsidR="00F91B43" w:rsidRDefault="008267C3">
      <w:pPr>
        <w:pStyle w:val="Normal1"/>
        <w:widowControl w:val="0"/>
        <w:pBdr>
          <w:top w:val="nil"/>
          <w:left w:val="nil"/>
          <w:bottom w:val="nil"/>
          <w:right w:val="nil"/>
          <w:between w:val="nil"/>
        </w:pBdr>
        <w:spacing w:after="240"/>
        <w:jc w:val="both"/>
        <w:rPr>
          <w:color w:val="000000"/>
        </w:rPr>
      </w:pPr>
      <w:r w:rsidRPr="00554B6B">
        <w:t>Yet despite clear benefits to WIL, it remains an underutilized educational and training model that has barriers to certain employer and student groups. This report focuses on the barriers to WIL participation faced specifically by small and medium sized enterprises, students with disabilities, and Indigenous students</w:t>
      </w:r>
      <w:r>
        <w:rPr>
          <w:color w:val="000000"/>
        </w:rPr>
        <w:t xml:space="preserve">. </w:t>
      </w:r>
    </w:p>
    <w:p w14:paraId="709E1F58" w14:textId="7BC4AD2D" w:rsidR="00F91B43" w:rsidRDefault="008267C3">
      <w:pPr>
        <w:pStyle w:val="Normal1"/>
        <w:widowControl w:val="0"/>
        <w:pBdr>
          <w:top w:val="nil"/>
          <w:left w:val="nil"/>
          <w:bottom w:val="nil"/>
          <w:right w:val="nil"/>
          <w:between w:val="nil"/>
        </w:pBdr>
        <w:spacing w:after="240"/>
        <w:jc w:val="both"/>
        <w:rPr>
          <w:color w:val="000000"/>
        </w:rPr>
      </w:pPr>
      <w:r>
        <w:rPr>
          <w:color w:val="000000"/>
        </w:rPr>
        <w:t>In B.C.’s tight labour market there is increasing pressure to access labour</w:t>
      </w:r>
      <w:r w:rsidR="00554B6B">
        <w:t>, and</w:t>
      </w:r>
      <w:r>
        <w:rPr>
          <w:color w:val="000000"/>
        </w:rPr>
        <w:t xml:space="preserve"> small employers are</w:t>
      </w:r>
      <w:r>
        <w:rPr>
          <w:color w:val="FF9900"/>
        </w:rPr>
        <w:t xml:space="preserve"> </w:t>
      </w:r>
      <w:r w:rsidRPr="00554B6B">
        <w:t xml:space="preserve">especially </w:t>
      </w:r>
      <w:r>
        <w:rPr>
          <w:color w:val="000000"/>
        </w:rPr>
        <w:t xml:space="preserve">faced with hiring challenges. While for students with disabilities and Indigenous students, a lack of access to WIL is an issue that </w:t>
      </w:r>
      <w:r w:rsidRPr="00004186">
        <w:t>reinforces</w:t>
      </w:r>
      <w:r>
        <w:rPr>
          <w:color w:val="000000"/>
        </w:rPr>
        <w:t xml:space="preserve"> larger labour market inequities. Engaging these stakeholder groups in WIL could assist in expanding B.C.’s labour supply, and help to mitigate the province’s talent shortage, while reversing patterns of employment inequity. </w:t>
      </w:r>
    </w:p>
    <w:p w14:paraId="7D255725" w14:textId="522B5F0A" w:rsidR="00F91B43" w:rsidRDefault="008267C3">
      <w:pPr>
        <w:pStyle w:val="Normal1"/>
        <w:pBdr>
          <w:top w:val="nil"/>
          <w:left w:val="nil"/>
          <w:bottom w:val="nil"/>
          <w:right w:val="nil"/>
          <w:between w:val="nil"/>
        </w:pBdr>
        <w:jc w:val="both"/>
        <w:rPr>
          <w:color w:val="000000"/>
        </w:rPr>
      </w:pPr>
      <w:r>
        <w:rPr>
          <w:color w:val="000000"/>
        </w:rPr>
        <w:t>This report aims to identify suitable measures to increase WIL participation of these three stakeholder groups in B.C. It provides a review of relevant literature, documents WIL policy supports across Canada, and promising WIL practices from Cana</w:t>
      </w:r>
      <w:r w:rsidR="00554B6B">
        <w:rPr>
          <w:color w:val="000000"/>
        </w:rPr>
        <w:t>da and Australia, followed by</w:t>
      </w:r>
      <w:r>
        <w:rPr>
          <w:color w:val="000000"/>
        </w:rPr>
        <w:t xml:space="preserve"> analysis and policy recommendations for each stakeholder group. </w:t>
      </w:r>
    </w:p>
    <w:p w14:paraId="1C8D211A" w14:textId="77777777" w:rsidR="00F91B43" w:rsidRDefault="008267C3">
      <w:pPr>
        <w:pStyle w:val="Normal1"/>
        <w:pBdr>
          <w:top w:val="nil"/>
          <w:left w:val="nil"/>
          <w:bottom w:val="nil"/>
          <w:right w:val="nil"/>
          <w:between w:val="nil"/>
        </w:pBdr>
        <w:jc w:val="both"/>
        <w:rPr>
          <w:color w:val="000000"/>
        </w:rPr>
      </w:pPr>
      <w:r>
        <w:rPr>
          <w:color w:val="000000"/>
        </w:rPr>
        <w:t xml:space="preserve">Appendices A and B offer definitions of WIL. </w:t>
      </w:r>
    </w:p>
    <w:p w14:paraId="1BA4995E" w14:textId="28888E67" w:rsidR="006C19F6" w:rsidRDefault="006C19F6">
      <w:pPr>
        <w:pStyle w:val="Normal1"/>
        <w:pBdr>
          <w:top w:val="nil"/>
          <w:left w:val="nil"/>
          <w:bottom w:val="nil"/>
          <w:right w:val="nil"/>
          <w:between w:val="nil"/>
        </w:pBdr>
        <w:jc w:val="both"/>
        <w:rPr>
          <w:color w:val="000000"/>
        </w:rPr>
      </w:pPr>
      <w:r>
        <w:rPr>
          <w:color w:val="000000"/>
        </w:rPr>
        <w:t>A summary of</w:t>
      </w:r>
      <w:r w:rsidR="00554B6B">
        <w:rPr>
          <w:color w:val="000000"/>
        </w:rPr>
        <w:t xml:space="preserve"> the report’s recommendations are</w:t>
      </w:r>
      <w:r>
        <w:rPr>
          <w:color w:val="000000"/>
        </w:rPr>
        <w:t xml:space="preserve"> listed below, with full recommendations provided on pages </w:t>
      </w:r>
      <w:r w:rsidR="004E23CA">
        <w:rPr>
          <w:color w:val="000000"/>
        </w:rPr>
        <w:t>29 – 33</w:t>
      </w:r>
      <w:r w:rsidR="005C5A7B" w:rsidRPr="005C5A7B">
        <w:rPr>
          <w:color w:val="000000"/>
        </w:rPr>
        <w:t>.</w:t>
      </w:r>
      <w:r w:rsidR="005C5A7B">
        <w:rPr>
          <w:color w:val="000000"/>
        </w:rPr>
        <w:t xml:space="preserve"> </w:t>
      </w:r>
    </w:p>
    <w:p w14:paraId="549C157E" w14:textId="711B98AF" w:rsidR="00DA77E1" w:rsidRPr="009C5EE4" w:rsidRDefault="00DA77E1" w:rsidP="00B82486">
      <w:pPr>
        <w:pStyle w:val="HeadingE3"/>
        <w:rPr>
          <w:rStyle w:val="BookTitle"/>
          <w:b w:val="0"/>
          <w:i w:val="0"/>
          <w:sz w:val="22"/>
        </w:rPr>
      </w:pPr>
      <w:r w:rsidRPr="009C5EE4">
        <w:rPr>
          <w:sz w:val="22"/>
        </w:rPr>
        <w:t>Recommendations</w:t>
      </w:r>
      <w:r w:rsidR="009C5EE4">
        <w:rPr>
          <w:sz w:val="22"/>
        </w:rPr>
        <w:t>:</w:t>
      </w:r>
    </w:p>
    <w:p w14:paraId="243B4527" w14:textId="1804C464" w:rsidR="00A71C05" w:rsidRPr="00B82486" w:rsidRDefault="00A71C05" w:rsidP="00B82486">
      <w:pPr>
        <w:pStyle w:val="HeadingE5"/>
      </w:pPr>
      <w:r w:rsidRPr="00B82486">
        <w:t>Recommendations</w:t>
      </w:r>
      <w:r w:rsidR="00F04C24" w:rsidRPr="00B82486">
        <w:t xml:space="preserve"> to support</w:t>
      </w:r>
      <w:r w:rsidRPr="00B82486">
        <w:t xml:space="preserve"> Employ</w:t>
      </w:r>
      <w:r w:rsidR="00F04C24" w:rsidRPr="00B82486">
        <w:t>er participation in WIL</w:t>
      </w:r>
    </w:p>
    <w:p w14:paraId="10D8AC75" w14:textId="77777777" w:rsidR="00A71C05" w:rsidRPr="00004186" w:rsidRDefault="00A71C05" w:rsidP="00A71C05">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 xml:space="preserve">Increase provincial funding to support SME WIL engagement </w:t>
      </w:r>
    </w:p>
    <w:p w14:paraId="77B1A25A" w14:textId="77777777" w:rsidR="00A71C05" w:rsidRPr="00004186" w:rsidRDefault="00A71C05" w:rsidP="00A71C05">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Promote collaboration among stakeholders</w:t>
      </w:r>
    </w:p>
    <w:p w14:paraId="23F2F963" w14:textId="5967E949" w:rsidR="00F91B43" w:rsidRPr="00004186" w:rsidRDefault="00A71C05" w:rsidP="00004186">
      <w:pPr>
        <w:pStyle w:val="Normal1"/>
        <w:widowControl w:val="0"/>
        <w:numPr>
          <w:ilvl w:val="0"/>
          <w:numId w:val="35"/>
        </w:numPr>
        <w:pBdr>
          <w:top w:val="nil"/>
          <w:left w:val="nil"/>
          <w:bottom w:val="nil"/>
          <w:right w:val="nil"/>
          <w:between w:val="nil"/>
        </w:pBdr>
        <w:ind w:left="425" w:hanging="425"/>
        <w:jc w:val="both"/>
        <w:rPr>
          <w:color w:val="000000"/>
        </w:rPr>
      </w:pPr>
      <w:r w:rsidRPr="00004186">
        <w:rPr>
          <w:color w:val="000000"/>
        </w:rPr>
        <w:t>Mitigate administrative and operational barriers employers face to WIL engagement</w:t>
      </w:r>
    </w:p>
    <w:p w14:paraId="2414DEE8" w14:textId="49E1843F" w:rsidR="00A71C05" w:rsidRPr="00B82486" w:rsidRDefault="00A71C05" w:rsidP="00B82486">
      <w:pPr>
        <w:pStyle w:val="HeadingE5"/>
      </w:pPr>
      <w:r w:rsidRPr="00B82486">
        <w:t>Recommendations</w:t>
      </w:r>
      <w:r w:rsidR="00F04C24" w:rsidRPr="00B82486">
        <w:t xml:space="preserve"> to support participation of </w:t>
      </w:r>
      <w:r w:rsidRPr="00B82486">
        <w:t>Students with disabilities</w:t>
      </w:r>
      <w:r w:rsidR="00F04C24" w:rsidRPr="00B82486">
        <w:t xml:space="preserve"> in WIL</w:t>
      </w:r>
    </w:p>
    <w:p w14:paraId="44E5C817" w14:textId="4B383094" w:rsidR="003E6507" w:rsidRPr="00004186" w:rsidRDefault="003E6507" w:rsidP="003E6507">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 xml:space="preserve">Enhance post-secondary institution funding to increase support for students with disabilities and employers </w:t>
      </w:r>
      <w:r w:rsidR="00004186" w:rsidRPr="00004186">
        <w:rPr>
          <w:color w:val="000000"/>
        </w:rPr>
        <w:t>hiring students with disabilities</w:t>
      </w:r>
    </w:p>
    <w:p w14:paraId="100EAD7B" w14:textId="76F831D8" w:rsidR="00A71C05" w:rsidRPr="00004186" w:rsidRDefault="00A71C05" w:rsidP="005907BF">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Fund further research on participation of students with disabilities in WIL</w:t>
      </w:r>
    </w:p>
    <w:p w14:paraId="1C701A3F" w14:textId="77777777" w:rsidR="00A71C05" w:rsidRPr="00004186" w:rsidRDefault="00A71C05" w:rsidP="00004186">
      <w:pPr>
        <w:widowControl w:val="0"/>
        <w:numPr>
          <w:ilvl w:val="0"/>
          <w:numId w:val="35"/>
        </w:numPr>
        <w:autoSpaceDE w:val="0"/>
        <w:autoSpaceDN w:val="0"/>
        <w:adjustRightInd w:val="0"/>
        <w:ind w:left="425" w:hanging="425"/>
        <w:jc w:val="both"/>
        <w:rPr>
          <w:bCs/>
          <w:iCs/>
        </w:rPr>
      </w:pPr>
      <w:r w:rsidRPr="00004186">
        <w:rPr>
          <w:bCs/>
          <w:iCs/>
        </w:rPr>
        <w:t>Consider inclusion of a funding enhancement measure for underrepresented groups within provincial level WIL supports</w:t>
      </w:r>
    </w:p>
    <w:p w14:paraId="4A75DD13" w14:textId="5C18C432" w:rsidR="00A71C05" w:rsidRPr="00B82486" w:rsidRDefault="00A71C05" w:rsidP="00B82486">
      <w:pPr>
        <w:pStyle w:val="HeadingE5"/>
      </w:pPr>
      <w:r w:rsidRPr="00B82486">
        <w:lastRenderedPageBreak/>
        <w:t>Recommendations</w:t>
      </w:r>
      <w:r w:rsidR="00F04C24" w:rsidRPr="00B82486">
        <w:t xml:space="preserve"> to support </w:t>
      </w:r>
      <w:r w:rsidR="00B82486" w:rsidRPr="00B82486">
        <w:t>participation</w:t>
      </w:r>
      <w:r w:rsidR="00F04C24" w:rsidRPr="00B82486">
        <w:t xml:space="preserve"> of indigenous students in WIL </w:t>
      </w:r>
    </w:p>
    <w:p w14:paraId="26AEED5B" w14:textId="470E3366" w:rsidR="00A71C05" w:rsidRPr="00004186" w:rsidRDefault="00A71C05" w:rsidP="005907BF">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 xml:space="preserve">Enhance </w:t>
      </w:r>
      <w:r w:rsidR="003E6507" w:rsidRPr="00004186">
        <w:rPr>
          <w:color w:val="000000"/>
        </w:rPr>
        <w:t>post-secondary institution funding</w:t>
      </w:r>
      <w:r w:rsidRPr="00004186">
        <w:rPr>
          <w:color w:val="000000"/>
        </w:rPr>
        <w:t xml:space="preserve"> to increase support for Indigenous students </w:t>
      </w:r>
      <w:r w:rsidR="003E6507" w:rsidRPr="00004186">
        <w:rPr>
          <w:color w:val="000000"/>
        </w:rPr>
        <w:t>to undertake</w:t>
      </w:r>
      <w:r w:rsidRPr="00004186">
        <w:rPr>
          <w:color w:val="000000"/>
        </w:rPr>
        <w:t xml:space="preserve"> WIL placements </w:t>
      </w:r>
    </w:p>
    <w:p w14:paraId="3906100C" w14:textId="68011490" w:rsidR="00A71C05" w:rsidRPr="00004186" w:rsidRDefault="00A71C05" w:rsidP="005907BF">
      <w:pPr>
        <w:pStyle w:val="Normal1"/>
        <w:widowControl w:val="0"/>
        <w:numPr>
          <w:ilvl w:val="0"/>
          <w:numId w:val="35"/>
        </w:numPr>
        <w:pBdr>
          <w:top w:val="nil"/>
          <w:left w:val="nil"/>
          <w:bottom w:val="nil"/>
          <w:right w:val="nil"/>
          <w:between w:val="nil"/>
        </w:pBdr>
        <w:spacing w:after="0"/>
        <w:ind w:left="426" w:hanging="426"/>
        <w:contextualSpacing/>
        <w:jc w:val="both"/>
        <w:rPr>
          <w:color w:val="000000"/>
        </w:rPr>
      </w:pPr>
      <w:r w:rsidRPr="00004186">
        <w:rPr>
          <w:color w:val="000000"/>
        </w:rPr>
        <w:t xml:space="preserve">Fund further research on </w:t>
      </w:r>
      <w:r w:rsidR="00F40B8F" w:rsidRPr="00004186">
        <w:rPr>
          <w:color w:val="000000"/>
        </w:rPr>
        <w:t xml:space="preserve">Indigenous student </w:t>
      </w:r>
      <w:r w:rsidRPr="00004186">
        <w:rPr>
          <w:color w:val="000000"/>
        </w:rPr>
        <w:t xml:space="preserve">participation in WIL </w:t>
      </w:r>
    </w:p>
    <w:p w14:paraId="3AAC5DDE" w14:textId="77777777" w:rsidR="00A71C05" w:rsidRPr="00004186" w:rsidRDefault="00A71C05" w:rsidP="00004186">
      <w:pPr>
        <w:pStyle w:val="Normal1"/>
        <w:widowControl w:val="0"/>
        <w:numPr>
          <w:ilvl w:val="0"/>
          <w:numId w:val="35"/>
        </w:numPr>
        <w:pBdr>
          <w:top w:val="nil"/>
          <w:left w:val="nil"/>
          <w:bottom w:val="nil"/>
          <w:right w:val="nil"/>
          <w:between w:val="nil"/>
        </w:pBdr>
        <w:ind w:left="425" w:hanging="425"/>
        <w:jc w:val="both"/>
        <w:rPr>
          <w:color w:val="000000"/>
        </w:rPr>
      </w:pPr>
      <w:r w:rsidRPr="00004186">
        <w:rPr>
          <w:color w:val="000000"/>
        </w:rPr>
        <w:t>Consider inclusion of a funding enhancement measure for underrepresented groups within provincial level WIL supports</w:t>
      </w:r>
    </w:p>
    <w:p w14:paraId="27E10DBD" w14:textId="77777777" w:rsidR="00A71C05" w:rsidRPr="00B82486" w:rsidRDefault="00A71C05" w:rsidP="00B82486">
      <w:pPr>
        <w:pStyle w:val="HeadingE5"/>
      </w:pPr>
      <w:r w:rsidRPr="00B82486">
        <w:t>Overarching recommendation</w:t>
      </w:r>
    </w:p>
    <w:p w14:paraId="7FD8C0AB" w14:textId="6F10BBED" w:rsidR="00A71C05" w:rsidRPr="00004186" w:rsidRDefault="00F40B8F" w:rsidP="005907BF">
      <w:pPr>
        <w:pStyle w:val="Normal1"/>
        <w:numPr>
          <w:ilvl w:val="0"/>
          <w:numId w:val="35"/>
        </w:numPr>
        <w:pBdr>
          <w:top w:val="nil"/>
          <w:left w:val="nil"/>
          <w:bottom w:val="nil"/>
          <w:right w:val="nil"/>
          <w:between w:val="nil"/>
        </w:pBdr>
        <w:ind w:left="426" w:hanging="426"/>
        <w:contextualSpacing/>
        <w:rPr>
          <w:color w:val="000000"/>
        </w:rPr>
      </w:pPr>
      <w:r w:rsidRPr="00004186">
        <w:t>E</w:t>
      </w:r>
      <w:r w:rsidR="00123CDC" w:rsidRPr="00004186">
        <w:t>stablish</w:t>
      </w:r>
      <w:r w:rsidRPr="00004186">
        <w:t xml:space="preserve"> data collection measures </w:t>
      </w:r>
      <w:r w:rsidR="00123CDC" w:rsidRPr="00004186">
        <w:t>in conjunction with the implementation of provincial WIL policy supports</w:t>
      </w:r>
    </w:p>
    <w:p w14:paraId="368516F7" w14:textId="77777777" w:rsidR="00671075" w:rsidRDefault="00671075">
      <w:pPr>
        <w:rPr>
          <w:b/>
          <w:bCs/>
          <w:color w:val="1F497D" w:themeColor="text2"/>
          <w:sz w:val="28"/>
          <w:szCs w:val="28"/>
        </w:rPr>
      </w:pPr>
      <w:bookmarkStart w:id="3" w:name="_Toc403133195"/>
      <w:r>
        <w:br w:type="page"/>
      </w:r>
    </w:p>
    <w:p w14:paraId="36A1680D" w14:textId="2BE620CD" w:rsidR="00F91B43" w:rsidRDefault="008267C3" w:rsidP="00B82486">
      <w:pPr>
        <w:pStyle w:val="HeadingE1"/>
      </w:pPr>
      <w:r w:rsidRPr="00B82486">
        <w:lastRenderedPageBreak/>
        <w:t>Introduction</w:t>
      </w:r>
      <w:bookmarkEnd w:id="3"/>
    </w:p>
    <w:p w14:paraId="087461B2" w14:textId="419B5F99" w:rsidR="0012170B" w:rsidRDefault="008267C3" w:rsidP="003C20CE">
      <w:pPr>
        <w:pStyle w:val="BodyText"/>
      </w:pPr>
      <w:r>
        <w:t xml:space="preserve">B.C.’s labour force relies strongly on post-secondary educated workers, but this was not always the case. Since the early 1990s, employers have shifted away from low-skilled labour, and the demand for skilled, post-secondary educated labour has grown strongly as the province has transitioned toward a knowledge-based economy (McKean, Coburn &amp; MacLaine, 2016). </w:t>
      </w:r>
      <w:r w:rsidR="00203184">
        <w:t xml:space="preserve">Colleges and universities now provide the largest inflow of workers into the labour market, and employers demand that post-secondary institutions equip their graduates with not only a strong knowledge base, but the ability to apply that knowledge in a work setting. </w:t>
      </w:r>
      <w:r w:rsidR="0012170B">
        <w:t xml:space="preserve">For graduates, a strong disciplinary knowledge base does not necessarily translate into a guaranteed job. </w:t>
      </w:r>
    </w:p>
    <w:p w14:paraId="52D7F33D" w14:textId="77777777" w:rsidR="0012170B" w:rsidRPr="00554B6B" w:rsidRDefault="0012170B" w:rsidP="003C20CE">
      <w:pPr>
        <w:pStyle w:val="BodyText"/>
      </w:pPr>
      <w:r>
        <w:t xml:space="preserve">In this context, post-secondary work-integrated learning (WIL) programs – which include co-op, clinical placements, internships and more – provide a technique to improve students’ work readiness and the ability to translate theoretical knowledge into practical implementation.  It also offers benefits to employers, educational institutions and the province as a whole. For employers, these programs provide enthusiastic and innovative talent at a reasonable cost, and an opportunity to evaluate potential long-term employees. </w:t>
      </w:r>
      <w:r w:rsidRPr="00554B6B">
        <w:t xml:space="preserve">Post-secondary education institutions benefit from WIL through the generation of a continuous cycle of knowledge transfer between students, institutions and employers, helping to better align curricula with changing priorities. While at the provincial level WIL is recognized as an important tool in regional economic development.  </w:t>
      </w:r>
    </w:p>
    <w:p w14:paraId="22E4AD42" w14:textId="77777777" w:rsidR="00554B6B" w:rsidRPr="00554B6B" w:rsidRDefault="00554B6B" w:rsidP="003C20CE">
      <w:pPr>
        <w:pStyle w:val="BodyText"/>
      </w:pPr>
      <w:r w:rsidRPr="00554B6B">
        <w:t>The trend in the number of co-op placements in B.C. institutions has moved upward from approximately 10,000 documented student placements in 2010/11 to approximately 15,250 documented student placements in 2016/17, a 52.5 percent increase (</w:t>
      </w:r>
      <w:r w:rsidRPr="00554B6B">
        <w:rPr>
          <w:highlight w:val="white"/>
        </w:rPr>
        <w:t>B.C. Co-operative Education Statistical Database</w:t>
      </w:r>
      <w:r w:rsidRPr="00554B6B">
        <w:t xml:space="preserve">, 2018). Despite an increase in co-op placements during this period, co-op and other WIL placement options are an underutilized tool that remains inaccessible to certain employer and student groups. While small and medium sized enterprises (SMEs), students with disabilities, and Indigenous students represent a diverse group of stakeholders, they all face barriers to accessing and participating in WIL.  </w:t>
      </w:r>
    </w:p>
    <w:p w14:paraId="44C2A7E9" w14:textId="55516801" w:rsidR="00B82486" w:rsidRDefault="00554B6B" w:rsidP="003C20CE">
      <w:pPr>
        <w:pStyle w:val="BodyText"/>
      </w:pPr>
      <w:r w:rsidRPr="00554B6B">
        <w:t>This report calls for new initiatives to enable more SMEs to hire WIL students, and for measures to facilitate increased WIL participation of students with disabilities and Indigenous students.  Through review of relevant literature, and documentation and analysis of WIL policy supports and promising practices, this report aims to offer insights toward the development of policy that will decrease the barriers to engagement in WIL faced by these</w:t>
      </w:r>
      <w:r>
        <w:t xml:space="preserve"> stakeholder groups.</w:t>
      </w:r>
    </w:p>
    <w:p w14:paraId="48D3ACE7" w14:textId="28A63517" w:rsidR="00F91B43" w:rsidRPr="00B82486" w:rsidRDefault="00B82486" w:rsidP="00B53C96">
      <w:pPr>
        <w:pStyle w:val="HeadingE1"/>
        <w:rPr>
          <w:color w:val="000000"/>
        </w:rPr>
      </w:pPr>
      <w:r>
        <w:rPr>
          <w:color w:val="000000"/>
        </w:rPr>
        <w:br w:type="page"/>
      </w:r>
      <w:bookmarkStart w:id="4" w:name="_Toc403133196"/>
      <w:r w:rsidR="008267C3">
        <w:lastRenderedPageBreak/>
        <w:t>Overview of policy need</w:t>
      </w:r>
      <w:bookmarkEnd w:id="4"/>
    </w:p>
    <w:p w14:paraId="7B9CF2A1" w14:textId="77777777" w:rsidR="00F91B43" w:rsidRDefault="008267C3" w:rsidP="00126288">
      <w:pPr>
        <w:pStyle w:val="HeadingE5"/>
      </w:pPr>
      <w:r>
        <w:t xml:space="preserve">Accessibility of WIL to small and </w:t>
      </w:r>
      <w:r w:rsidRPr="00126288">
        <w:t>medium</w:t>
      </w:r>
      <w:r>
        <w:t xml:space="preserve"> sized enterprises</w:t>
      </w:r>
    </w:p>
    <w:p w14:paraId="4F150D16" w14:textId="16190CA0" w:rsidR="00F91B43" w:rsidRDefault="008267C3" w:rsidP="003C20CE">
      <w:pPr>
        <w:pStyle w:val="BodyText"/>
      </w:pPr>
      <w:r>
        <w:t>B.C.’s strong economic growth in 2018 has seen the provincial un</w:t>
      </w:r>
      <w:r w:rsidR="00147CD5">
        <w:t>employment level decline to 5.0 percent</w:t>
      </w:r>
      <w:r>
        <w:t xml:space="preserve">, placing increasing pressure on employers to find qualified staff with the required education, skills, and experience. In this setting of high competition for human resources, SMEs in particular are faced with hiring challenges and find the cost of WIL hiring restrictive. </w:t>
      </w:r>
    </w:p>
    <w:p w14:paraId="75A3F5E8" w14:textId="77777777" w:rsidR="00F91B43" w:rsidRDefault="008267C3" w:rsidP="003C20CE">
      <w:pPr>
        <w:pStyle w:val="Normal1"/>
        <w:widowControl w:val="0"/>
        <w:pBdr>
          <w:top w:val="nil"/>
          <w:left w:val="nil"/>
          <w:bottom w:val="nil"/>
          <w:right w:val="nil"/>
          <w:between w:val="nil"/>
        </w:pBdr>
        <w:spacing w:after="360"/>
        <w:jc w:val="both"/>
        <w:rPr>
          <w:color w:val="000000"/>
        </w:rPr>
      </w:pPr>
      <w:r>
        <w:rPr>
          <w:color w:val="000000"/>
        </w:rPr>
        <w:t xml:space="preserve">SMEs lack financial resources to attract experienced and skilled employees, often hiring under-qualified workers that may require on-the-job training. This investment in training creates a setting in which SMEs act as a ‘training ground’ for talent that may later be lost to larger corporations with greater resources. Although training is necessary to the operation and growth of SMEs, the sector bears a disproportionate cost that society as a whole benefits from through the development of a highly skilled and educated workforce. Small businesses are integral to British Columbia’s economy, representing 98 percent of businesses in the province (B.C. Ministry of Jobs, Trade and Technology, 2017), and new measures are needed to foster their ability to contribute to the economy and create new jobs. </w:t>
      </w:r>
    </w:p>
    <w:p w14:paraId="2E1DBB38" w14:textId="77777777" w:rsidR="00F91B43" w:rsidRDefault="008267C3" w:rsidP="00126288">
      <w:pPr>
        <w:pStyle w:val="HeadingE5"/>
      </w:pPr>
      <w:r>
        <w:t>Accessibility of WIL to different types of learners</w:t>
      </w:r>
    </w:p>
    <w:p w14:paraId="45A42996" w14:textId="77777777" w:rsidR="00F91B43" w:rsidRDefault="008267C3">
      <w:pPr>
        <w:pStyle w:val="Normal1"/>
        <w:pBdr>
          <w:top w:val="nil"/>
          <w:left w:val="nil"/>
          <w:bottom w:val="nil"/>
          <w:right w:val="nil"/>
          <w:between w:val="nil"/>
        </w:pBdr>
        <w:spacing w:after="360"/>
        <w:jc w:val="both"/>
        <w:rPr>
          <w:color w:val="000000"/>
        </w:rPr>
      </w:pPr>
      <w:r>
        <w:rPr>
          <w:color w:val="000000"/>
        </w:rPr>
        <w:t>WIL opportunities are less accessible to certain groups of students, including students with disabilities and Indigenous students, presenting an issue that reflects larger labour market inequities. Engaging these student groups in WIL could assist in expanding B.C.’s labour supply, and help to mitigate the province’s talent shortage. As an added benefit to organizations sourcing from these groups, diverse and inclusive organizations have been found to be more productive, competitive, and innovative (B.C. Tech Association, 2016).</w:t>
      </w:r>
    </w:p>
    <w:p w14:paraId="45DC3BF4" w14:textId="77777777" w:rsidR="00F91B43" w:rsidRDefault="008267C3" w:rsidP="004E6CD5">
      <w:pPr>
        <w:pStyle w:val="HeadingE4"/>
      </w:pPr>
      <w:r>
        <w:t xml:space="preserve">Students </w:t>
      </w:r>
      <w:r w:rsidRPr="00B53C96">
        <w:t>with</w:t>
      </w:r>
      <w:r>
        <w:t xml:space="preserve"> disabilities</w:t>
      </w:r>
    </w:p>
    <w:p w14:paraId="2CF4DF07" w14:textId="77777777" w:rsidR="00F91B43" w:rsidRDefault="008267C3">
      <w:pPr>
        <w:pStyle w:val="Normal1"/>
        <w:widowControl w:val="0"/>
        <w:pBdr>
          <w:top w:val="nil"/>
          <w:left w:val="nil"/>
          <w:bottom w:val="nil"/>
          <w:right w:val="nil"/>
          <w:between w:val="nil"/>
        </w:pBdr>
        <w:spacing w:after="360"/>
        <w:jc w:val="both"/>
        <w:rPr>
          <w:color w:val="000000"/>
        </w:rPr>
      </w:pPr>
      <w:r>
        <w:rPr>
          <w:color w:val="000000"/>
        </w:rPr>
        <w:t xml:space="preserve">The unique needs of students with disabilities combined with the general requirements of WIL placements can be challenging for post-secondary education institutions to adequately support. However, this population has an equal right to WIL opportunities. In 2012, around 40 percent of Canadian young adults with disabilities between the ages of 24 to 35 were neither in employment nor enrolled in education, compared to around 12 percent of young adults without disabilities (Till, Leonard, Yeung &amp; Nicholls, 2015). From both equity and economic perspectives, this makes implementing practices that promote the success of people with disabilities in employment critical. </w:t>
      </w:r>
    </w:p>
    <w:p w14:paraId="491CCBC9" w14:textId="77777777" w:rsidR="00F91B43" w:rsidRDefault="008267C3" w:rsidP="004E6CD5">
      <w:pPr>
        <w:pStyle w:val="HeadingE4"/>
      </w:pPr>
      <w:r>
        <w:t xml:space="preserve">Indigenous </w:t>
      </w:r>
      <w:r w:rsidRPr="00B53C96">
        <w:t>students</w:t>
      </w:r>
      <w:r>
        <w:t xml:space="preserve"> </w:t>
      </w:r>
    </w:p>
    <w:p w14:paraId="70C2B95B" w14:textId="77777777" w:rsidR="00F91B43" w:rsidRDefault="008267C3" w:rsidP="00A44F9A">
      <w:pPr>
        <w:pStyle w:val="Normal1"/>
        <w:widowControl w:val="0"/>
        <w:pBdr>
          <w:top w:val="nil"/>
          <w:left w:val="nil"/>
          <w:bottom w:val="nil"/>
          <w:right w:val="nil"/>
          <w:between w:val="nil"/>
        </w:pBdr>
        <w:spacing w:after="600"/>
        <w:jc w:val="both"/>
        <w:rPr>
          <w:color w:val="000000"/>
        </w:rPr>
      </w:pPr>
      <w:r>
        <w:rPr>
          <w:color w:val="000000"/>
        </w:rPr>
        <w:t xml:space="preserve">It may be a well-known issue, but one deserving of attention as long as the implications persist – the Indigenous Canadian population has a lower level of post-secondary educational attainment than Canada’s non-Indigenous population (Statistics Canada, 2013a). There is also a discrepancy in employment rates between Indigenous and non-Indigenous Canadians, with Indigenous Canadians having lower employment rates than their non-Indigenous counterparts, and being underrepresented in most ‘knowledge occupations’ – those categorized as professional, managerial and technical occupations. Consistent with the Truth and Reconciliation report’s calls to action, it is necessary to eliminate educational and employment gaps between Indigenous and non-Indigenous Canadians. Implementing practices that support the participation of Indigenous students in WIL offers a valuable strategy that will go some way to reversing these historical patterns of inequity. </w:t>
      </w:r>
    </w:p>
    <w:p w14:paraId="794DC201" w14:textId="77777777" w:rsidR="00F91B43" w:rsidRDefault="008267C3" w:rsidP="004E6CD5">
      <w:pPr>
        <w:pStyle w:val="HeadingE1"/>
      </w:pPr>
      <w:bookmarkStart w:id="5" w:name="_Toc403133197"/>
      <w:r w:rsidRPr="00B53C96">
        <w:t>Literature</w:t>
      </w:r>
      <w:r>
        <w:t xml:space="preserve"> review</w:t>
      </w:r>
      <w:bookmarkEnd w:id="5"/>
    </w:p>
    <w:p w14:paraId="37189A92" w14:textId="2E85BD7E" w:rsidR="00F91B43" w:rsidRDefault="00393E92">
      <w:pPr>
        <w:pStyle w:val="Normal1"/>
        <w:pBdr>
          <w:top w:val="nil"/>
          <w:left w:val="nil"/>
          <w:bottom w:val="nil"/>
          <w:right w:val="nil"/>
          <w:between w:val="nil"/>
        </w:pBdr>
        <w:spacing w:after="360"/>
        <w:jc w:val="both"/>
        <w:rPr>
          <w:color w:val="000000"/>
        </w:rPr>
      </w:pPr>
      <w:r>
        <w:rPr>
          <w:color w:val="000000"/>
        </w:rPr>
        <w:t xml:space="preserve">This thematic review focuses on </w:t>
      </w:r>
      <w:r w:rsidR="008267C3">
        <w:rPr>
          <w:color w:val="000000"/>
        </w:rPr>
        <w:t xml:space="preserve">Canadian literature related to WIL participation of employers, post-secondary students with disabilities, and Indigenous students, with inclusion of literature relevant to B.C. where available. </w:t>
      </w:r>
    </w:p>
    <w:p w14:paraId="45EEB6C5" w14:textId="77777777" w:rsidR="00F91B43" w:rsidRPr="004E6CD5" w:rsidRDefault="008267C3" w:rsidP="004E6CD5">
      <w:pPr>
        <w:pStyle w:val="HeadingE3"/>
      </w:pPr>
      <w:bookmarkStart w:id="6" w:name="_Toc403133198"/>
      <w:r w:rsidRPr="004E6CD5">
        <w:t>Employer participation in WIL programs</w:t>
      </w:r>
      <w:bookmarkEnd w:id="6"/>
      <w:r w:rsidRPr="004E6CD5">
        <w:t xml:space="preserve"> </w:t>
      </w:r>
    </w:p>
    <w:p w14:paraId="71E67456" w14:textId="77777777" w:rsidR="00F91B43" w:rsidRDefault="008267C3" w:rsidP="003C20CE">
      <w:pPr>
        <w:pStyle w:val="BodyText"/>
      </w:pPr>
      <w:r>
        <w:t xml:space="preserve">Employer interest in WIL is growing in Canada. In a 2012 discussion paper on skills development, the Canadian Chamber of Commerce noted WIL as critical to building a highly skilled and productive labour force for an innovative and strong economy. This level of interest is also reflected by Canada’s largest businesses where collaboration between post-secondary institutions and large private-sector organizations is growing. In a 2018 Business Council of Canada survey of 95 of Canada’s largest employers, 83 percent reported they were working with one or more post-secondary institutions to better prepare students for the workforce.  In B.C., business groups are calling for more WIL opportunities, and creative approaches that enable different types of placements across disciplines, and strategies that address barriers faced by employers (Jothen, 2017). </w:t>
      </w:r>
    </w:p>
    <w:p w14:paraId="310A001A" w14:textId="77777777" w:rsidR="00F91B43" w:rsidRDefault="008267C3" w:rsidP="003C20CE">
      <w:pPr>
        <w:pStyle w:val="BodyText"/>
      </w:pPr>
      <w:r>
        <w:t xml:space="preserve">Several studies have examined the benefits of, and motivations for, employer participation in WIL. In a New Brunswick study of 85 employers, the most frequently cited reason for WIL participation was to identify qualified future candidates, and that filling labour shortages was a primary motivation for WIL participation (CCL, 2007). This finding was reinforced in an Ontario study of WIL employers in which respondents noted prescreening potential candidates as a top reason for participating in WIL, along with developing workforce skills. However, the authors noted many WIL employers were also motivated by a sense of corporate social responsibility. Among employers planning to participate in WIL in future, their top motivation was to give back to the community (Sattler &amp; Peters, 2012). </w:t>
      </w:r>
    </w:p>
    <w:p w14:paraId="67B2BED5" w14:textId="77777777" w:rsidR="00F91B43" w:rsidRDefault="008267C3" w:rsidP="003C20CE">
      <w:pPr>
        <w:pStyle w:val="BodyText"/>
      </w:pPr>
      <w:r>
        <w:t xml:space="preserve">Another Ontario study that interviewed 25 WIL employers demonstrated the value gained by employers, with most respondents indicating they would recommend WIL programs to others and planned to continue to provide WIL opportunities because of high levels of satisfaction with the quality of students. Other benefits employers derived from participating in WIL included improved workplace climate resulting from the presence of highly motivated and creative students, enhanced employee morale and increased capacity among staff responsible for student supervision (Sattler, 2011). </w:t>
      </w:r>
    </w:p>
    <w:p w14:paraId="4F4FE5F7" w14:textId="77777777" w:rsidR="00F91B43" w:rsidRDefault="008267C3" w:rsidP="003C20CE">
      <w:pPr>
        <w:pStyle w:val="BodyText"/>
      </w:pPr>
      <w:r>
        <w:t xml:space="preserve">In addition to these established benefits of WIL, a number of challenges have been identified for employers to provide WIL opportunities. Key barriers to providing WIL opportunities affecting employers tend to focus on issues associated with resourcing. Often, employers may be reluctant to participate in WIL programs due to the perceived costs involved. These costs may include both providing fair compensation to the student, as well as the level of time and effort required to effectively supervise and mentor students (BHER, 2016; The Premier’s Highly Skilled Workforce Expert Panel, 2016). </w:t>
      </w:r>
    </w:p>
    <w:p w14:paraId="473626D9" w14:textId="77777777" w:rsidR="00F91B43" w:rsidRDefault="008267C3" w:rsidP="003C20CE">
      <w:pPr>
        <w:pStyle w:val="BodyText"/>
      </w:pPr>
      <w:r>
        <w:t xml:space="preserve">These challenges affect employers of different sizes in different ways. Although smaller employers receive significant benefits from partnering with post-secondary institutions on WIL opportunities, smaller employers are more acutely affected by the cost. Their limited payroll not only means it can be more challenging to provide a work placement, but to also offer permanent employment once a WIL placement ends (Sattler &amp; Peters, 2012). In B.C., a 2016 TechTalentBC report supports these findings, noting that B.C.’s small tech companies hire students for co-ops less often than large companies, partly due to the time and resources required to train co-op participants for what is perceived </w:t>
      </w:r>
      <w:r w:rsidR="002C4E08">
        <w:t xml:space="preserve">as </w:t>
      </w:r>
      <w:r>
        <w:t>a short period of time (B.C. Tech Association, 2016).</w:t>
      </w:r>
    </w:p>
    <w:p w14:paraId="037D1ED0" w14:textId="77777777" w:rsidR="00F91B43" w:rsidRDefault="008267C3" w:rsidP="003C20CE">
      <w:pPr>
        <w:pStyle w:val="BodyText"/>
      </w:pPr>
      <w:r>
        <w:t xml:space="preserve">Institutional processes and expectations may also create barriers for employers, generating employer interest in centralized lists of potential candidates to simplify access to WIL students, and requests for examples of appropriate work placements (CCL, 2008). As noted in the 2016 TechTalentBC report, short placement length can additionally be a challenge, given the substantive investment required to train and supervise students during placements (CCL, 2007). </w:t>
      </w:r>
    </w:p>
    <w:p w14:paraId="7213CC14" w14:textId="77777777" w:rsidR="00F91B43" w:rsidRDefault="008267C3" w:rsidP="00384C68">
      <w:pPr>
        <w:pStyle w:val="Normal1"/>
        <w:pBdr>
          <w:top w:val="nil"/>
          <w:left w:val="nil"/>
          <w:bottom w:val="nil"/>
          <w:right w:val="nil"/>
          <w:between w:val="nil"/>
        </w:pBdr>
        <w:spacing w:after="360"/>
        <w:jc w:val="both"/>
        <w:rPr>
          <w:color w:val="000000"/>
        </w:rPr>
      </w:pPr>
      <w:r>
        <w:rPr>
          <w:color w:val="000000"/>
        </w:rPr>
        <w:t>A 2014 survey conducted for the Association of Universities and Colleges of Canada indicated that addressing these challenges could be assisted through the implementation of a hiring incentive. The survey, in which more than 400 small and medium sized enterprises across Canada participated, identified that employers would create more WIL opportunities for students if given access to incentives such as vouchers or tax credits (</w:t>
      </w:r>
      <w:r>
        <w:t>Universities Canada,</w:t>
      </w:r>
      <w:r>
        <w:rPr>
          <w:color w:val="000000"/>
        </w:rPr>
        <w:t xml:space="preserve"> 2014). Additionally, Ontario’s Highly Skilled Workforce Panel that was appointed in 2015 to develop a strategy to help the province’s workforce adapt to a technology-driven knowledge economy, noted the importance of intermediaries (such as industry associations or NGOs) to business participating in WIL. The Panel identified that intermediaries may ease the administrative and operational burden for business, as a way to de-risk the process, particularly for small and medium sized enterprises (</w:t>
      </w:r>
      <w:r>
        <w:t>The Premier’s Highly Skilled Workforce Expert Panel, 2016</w:t>
      </w:r>
      <w:r>
        <w:rPr>
          <w:color w:val="000000"/>
        </w:rPr>
        <w:t>).</w:t>
      </w:r>
    </w:p>
    <w:p w14:paraId="23133034" w14:textId="2BC8E1E6" w:rsidR="0090081D" w:rsidRPr="00384C68" w:rsidRDefault="008267C3" w:rsidP="00384C68">
      <w:pPr>
        <w:pStyle w:val="HeadingE5"/>
      </w:pPr>
      <w:r w:rsidRPr="00384C68">
        <w:t>Employer participation in WIL: Key points</w:t>
      </w:r>
    </w:p>
    <w:p w14:paraId="32238573" w14:textId="77777777" w:rsidR="00F91B43" w:rsidRDefault="008267C3" w:rsidP="0090081D">
      <w:pPr>
        <w:pStyle w:val="Normal1"/>
        <w:widowControl w:val="0"/>
        <w:numPr>
          <w:ilvl w:val="0"/>
          <w:numId w:val="18"/>
        </w:numPr>
        <w:pBdr>
          <w:top w:val="nil"/>
          <w:left w:val="nil"/>
          <w:bottom w:val="nil"/>
          <w:right w:val="nil"/>
          <w:between w:val="nil"/>
        </w:pBdr>
        <w:spacing w:after="120"/>
        <w:jc w:val="both"/>
        <w:rPr>
          <w:i/>
          <w:color w:val="000000"/>
        </w:rPr>
      </w:pPr>
      <w:r>
        <w:rPr>
          <w:i/>
          <w:color w:val="000000"/>
        </w:rPr>
        <w:t xml:space="preserve">Employer interest in WIL is growing in Canada, and industry views WIL as an important tool for building a highly skilled and productive labour force. </w:t>
      </w:r>
    </w:p>
    <w:p w14:paraId="17C357EF" w14:textId="77777777" w:rsidR="00F91B43" w:rsidRDefault="008267C3" w:rsidP="0090081D">
      <w:pPr>
        <w:pStyle w:val="Normal1"/>
        <w:widowControl w:val="0"/>
        <w:numPr>
          <w:ilvl w:val="0"/>
          <w:numId w:val="18"/>
        </w:numPr>
        <w:pBdr>
          <w:top w:val="nil"/>
          <w:left w:val="nil"/>
          <w:bottom w:val="nil"/>
          <w:right w:val="nil"/>
          <w:between w:val="nil"/>
        </w:pBdr>
        <w:spacing w:after="120"/>
        <w:jc w:val="both"/>
        <w:rPr>
          <w:i/>
          <w:color w:val="000000"/>
        </w:rPr>
      </w:pPr>
      <w:r>
        <w:rPr>
          <w:i/>
          <w:color w:val="000000"/>
        </w:rPr>
        <w:t xml:space="preserve">Employers are motivated to participate in WIL for several reasons, including to identify and pre-screen future candidates; to fill labour shortages; and as a form of corporate social responsibility. </w:t>
      </w:r>
    </w:p>
    <w:p w14:paraId="3C11266B" w14:textId="77777777" w:rsidR="00F91B43" w:rsidRDefault="008267C3" w:rsidP="0090081D">
      <w:pPr>
        <w:pStyle w:val="Normal1"/>
        <w:widowControl w:val="0"/>
        <w:numPr>
          <w:ilvl w:val="0"/>
          <w:numId w:val="18"/>
        </w:numPr>
        <w:pBdr>
          <w:top w:val="nil"/>
          <w:left w:val="nil"/>
          <w:bottom w:val="nil"/>
          <w:right w:val="nil"/>
          <w:between w:val="nil"/>
        </w:pBdr>
        <w:spacing w:after="120"/>
        <w:jc w:val="both"/>
        <w:rPr>
          <w:i/>
          <w:color w:val="000000"/>
        </w:rPr>
      </w:pPr>
      <w:r>
        <w:rPr>
          <w:i/>
          <w:color w:val="000000"/>
        </w:rPr>
        <w:t xml:space="preserve">Challenges of WIL participation affect employers of different sizes in different ways.  Smaller employers are more acutely affected by the associated costs of participation, both with respect to hiring costs, and time and resources required to train and supervise students. </w:t>
      </w:r>
    </w:p>
    <w:p w14:paraId="78FBB25B" w14:textId="77777777" w:rsidR="00F91B43" w:rsidRDefault="008267C3" w:rsidP="0090081D">
      <w:pPr>
        <w:pStyle w:val="Normal1"/>
        <w:widowControl w:val="0"/>
        <w:numPr>
          <w:ilvl w:val="0"/>
          <w:numId w:val="18"/>
        </w:numPr>
        <w:pBdr>
          <w:top w:val="nil"/>
          <w:left w:val="nil"/>
          <w:bottom w:val="nil"/>
          <w:right w:val="nil"/>
          <w:between w:val="nil"/>
        </w:pBdr>
        <w:spacing w:after="120"/>
        <w:jc w:val="both"/>
        <w:rPr>
          <w:i/>
          <w:color w:val="000000"/>
        </w:rPr>
      </w:pPr>
      <w:r>
        <w:rPr>
          <w:i/>
          <w:color w:val="000000"/>
        </w:rPr>
        <w:t xml:space="preserve">Further barriers to employer participation in WIL include post-secondary education institutional processes and expectations, and short WIL placement length. </w:t>
      </w:r>
    </w:p>
    <w:p w14:paraId="04BFC35F" w14:textId="02A47355" w:rsidR="00F91B43" w:rsidRPr="00A44F9A" w:rsidRDefault="008267C3" w:rsidP="00A44F9A">
      <w:pPr>
        <w:pStyle w:val="Normal1"/>
        <w:widowControl w:val="0"/>
        <w:numPr>
          <w:ilvl w:val="0"/>
          <w:numId w:val="18"/>
        </w:numPr>
        <w:pBdr>
          <w:top w:val="nil"/>
          <w:left w:val="nil"/>
          <w:bottom w:val="nil"/>
          <w:right w:val="nil"/>
          <w:between w:val="nil"/>
        </w:pBdr>
        <w:spacing w:after="480"/>
        <w:ind w:left="714" w:hanging="357"/>
        <w:jc w:val="both"/>
        <w:rPr>
          <w:i/>
          <w:color w:val="000000"/>
        </w:rPr>
      </w:pPr>
      <w:r>
        <w:rPr>
          <w:i/>
          <w:color w:val="000000"/>
        </w:rPr>
        <w:t xml:space="preserve">Strategies identified to mitigate the challenges employers experience in participating in WIL include implementation of financial hiring incentives, and mechanisms that ease the administrative and operational burden for employers. </w:t>
      </w:r>
    </w:p>
    <w:p w14:paraId="4BB6C3B1" w14:textId="77777777" w:rsidR="00F91B43" w:rsidRPr="00384C68" w:rsidRDefault="008267C3" w:rsidP="00A44F9A">
      <w:pPr>
        <w:pStyle w:val="HeadingE3"/>
      </w:pPr>
      <w:bookmarkStart w:id="7" w:name="_Toc403133199"/>
      <w:r w:rsidRPr="00384C68">
        <w:t>Accessibility of WIL programs to different types of learners</w:t>
      </w:r>
      <w:bookmarkEnd w:id="7"/>
      <w:r w:rsidRPr="00384C68">
        <w:t xml:space="preserve"> </w:t>
      </w:r>
    </w:p>
    <w:p w14:paraId="3D7E2F46" w14:textId="77777777" w:rsidR="00F91B43" w:rsidRDefault="008267C3">
      <w:pPr>
        <w:pStyle w:val="Normal1"/>
        <w:widowControl w:val="0"/>
        <w:pBdr>
          <w:top w:val="nil"/>
          <w:left w:val="nil"/>
          <w:bottom w:val="nil"/>
          <w:right w:val="nil"/>
          <w:between w:val="nil"/>
        </w:pBdr>
        <w:spacing w:after="360"/>
        <w:jc w:val="both"/>
        <w:rPr>
          <w:color w:val="000000"/>
        </w:rPr>
      </w:pPr>
      <w:r>
        <w:rPr>
          <w:color w:val="000000"/>
        </w:rPr>
        <w:t xml:space="preserve">While overall student participation in WIL has increased over the last 30 years in Canada, and the benefits of student participation have been well established (Sattler &amp; Peters, 2013), there is concern that WIL opportunities may be distributed unequally among students in ways that reflect and reinforce larger labour market inequities. The following coverage of literature examines the WIL participation of two learner groups, students with disabilities and Indigenous students, which have been identified as having lower rates of WIL participation. </w:t>
      </w:r>
    </w:p>
    <w:p w14:paraId="2CE85F55" w14:textId="77777777" w:rsidR="00F91B43" w:rsidRPr="00384C68" w:rsidRDefault="008267C3" w:rsidP="00A44F9A">
      <w:pPr>
        <w:pStyle w:val="HeadingE3"/>
        <w:numPr>
          <w:ilvl w:val="0"/>
          <w:numId w:val="42"/>
        </w:numPr>
        <w:ind w:left="426" w:hanging="426"/>
      </w:pPr>
      <w:bookmarkStart w:id="8" w:name="_Toc403133200"/>
      <w:r w:rsidRPr="00384C68">
        <w:t>Students with disabilities</w:t>
      </w:r>
      <w:bookmarkEnd w:id="8"/>
    </w:p>
    <w:p w14:paraId="6D178A03" w14:textId="5A26EDE2" w:rsidR="00F91B43" w:rsidRDefault="008267C3" w:rsidP="003C20CE">
      <w:pPr>
        <w:pStyle w:val="BodyText"/>
      </w:pPr>
      <w:r>
        <w:t>Many post-secondary institutions across Canada are publically articulating their commitment to developing accessible learning environments, and in turn, a growing number of Canadians with disabilities are viewing the attainment of a post-secondary education as a viable option (Pardo &amp; Tomlinson, 2000).</w:t>
      </w:r>
      <w:r w:rsidR="003C20CE">
        <w:t xml:space="preserve"> </w:t>
      </w:r>
      <w:r>
        <w:t xml:space="preserve">For some university graduates with a disability, attaining a post-secondary education has assisted their participation in the labour market. Data from the 2012 Canadian Survey on Disability showed employment rates to be similar between university graduates with a mild or moderate disability to those without a disability. However, for graduates with a disability categorized as severe, the impact of a university education appeared to be less positive, with survey data showing the employment rate for these graduates to be significantly lower than for those without a disability. </w:t>
      </w:r>
    </w:p>
    <w:p w14:paraId="3B167958" w14:textId="77777777" w:rsidR="00F91B43" w:rsidRDefault="008267C3" w:rsidP="003C20CE">
      <w:pPr>
        <w:pStyle w:val="BodyText"/>
      </w:pPr>
      <w:r>
        <w:t>The 2012 Canadian Survey on Disability further showed that the type of disability can affect the employment rate of Canadians with disabilities. Even when severity and other variables that affect employment were taken into account, employment outcomes were less positive for individuals whose disability was mental or psychological (developmental or learning disorder; memory problem; or emotional, psychological or mental health condition) (Turcotte, 2014).</w:t>
      </w:r>
    </w:p>
    <w:p w14:paraId="683A004E" w14:textId="3E5113C5" w:rsidR="00F91B43" w:rsidRDefault="008267C3" w:rsidP="003C20CE">
      <w:pPr>
        <w:pStyle w:val="BodyText"/>
      </w:pPr>
      <w:r>
        <w:t xml:space="preserve">While the 2012 Canadian Survey on Disability identified that university education can positively affect employment outcomes for graduates with mild or moderate disabilities, the transition from school to the workforce may be more challenging for graduates with disabilities. Using data from the 2012 Canadian Survey on Disability, Till, Leonard, Yeung &amp; Nicholls (2015) examined the employment outcomes of post-secondary education students and young adults with disabilities. Post-secondary education students with disabilities were found to be working less often than those without disabilities </w:t>
      </w:r>
      <w:r w:rsidR="007115C8">
        <w:t>(about a third (36.4 percent</w:t>
      </w:r>
      <w:r>
        <w:t>) of students with disabilities were found to be working, c</w:t>
      </w:r>
      <w:r w:rsidR="007115C8">
        <w:t>ompared to more than half (53.9 percent</w:t>
      </w:r>
      <w:r>
        <w:t>) of students without disabilities). Examining the employment status of young adults with disabilities between the ages of 24 to 35, Till, Leonard, Yeung &amp; Nicholls further identified that young adults with disabilities were more likely to be neither in employment or enrolled in education or training (NEET), than those in that age range wi</w:t>
      </w:r>
      <w:r w:rsidR="007115C8">
        <w:t>thout disabilities. (About 40.0 percent</w:t>
      </w:r>
      <w:r>
        <w:t xml:space="preserve"> of young adults with disabilities were catego</w:t>
      </w:r>
      <w:r w:rsidR="007115C8">
        <w:t>rized as NEET, compared to 10.0 to 12.0 percent</w:t>
      </w:r>
      <w:r>
        <w:t xml:space="preserve"> of young adults without disabilities). This finding, Till, Leonard, Yeung &amp; Nicholls suggested, could likely be attributed to less labour market experience at graduation. </w:t>
      </w:r>
    </w:p>
    <w:p w14:paraId="142A9A4A" w14:textId="77777777" w:rsidR="00F91B43" w:rsidRDefault="008267C3" w:rsidP="003C20CE">
      <w:pPr>
        <w:pStyle w:val="BodyText"/>
      </w:pPr>
      <w:r>
        <w:t xml:space="preserve">Post-secondary education graduates with disabilities may not only experience a more challenging transition from school to the workforce than graduates without disabilities, but may also find it harder to obtain meaningful employment aligned to their career interest and skill-level. Fichten et al. (2012) compared the employment status of graduates with and without disabilities from three community colleges. While few employment differences between the two groups were found, graduates with disabilities were employed less often in a job closely related to their field of study. This finding was reinforced by Gillies (2012) in a study examining the transition from university to employment of 10 university graduates with disabilities. While eight of the 10 graduates were employed at the time of the study, few had attained meaningful employment in an area of interest. </w:t>
      </w:r>
    </w:p>
    <w:p w14:paraId="416DB637" w14:textId="77777777" w:rsidR="00F91B43" w:rsidRDefault="008267C3" w:rsidP="003C20CE">
      <w:pPr>
        <w:pStyle w:val="BodyText"/>
      </w:pPr>
      <w:r>
        <w:t xml:space="preserve">Gillies further discussed barriers to employment faced by university graduates with disabilities, noting structural, attitudinal, and systemic issues confronted by graduates when seeking meaningful employment. In a study conducted for the University of Calgary examining academic accommodations in field and practicum settings, Pardo &amp; Tomlinson (2000) similarly identified that students with disabilities face barriers to WIL that mirror their experience in the labour market. The authors noted barriers including limited placement options; prejudiced attitudes that make placement hosts reluctant to select students; negative assumptions about student capability; and poor quality experiences due to inadequate accommodations while on placement. </w:t>
      </w:r>
    </w:p>
    <w:p w14:paraId="47A6B1A6" w14:textId="45062CD1" w:rsidR="00800C80" w:rsidRDefault="009F1637" w:rsidP="003C20CE">
      <w:pPr>
        <w:pStyle w:val="BodyText"/>
      </w:pPr>
      <w:r>
        <w:t xml:space="preserve">For employers, </w:t>
      </w:r>
      <w:r w:rsidR="000A25A8">
        <w:t>a key concern lies in a</w:t>
      </w:r>
      <w:r w:rsidR="00800C80">
        <w:t xml:space="preserve"> lack of </w:t>
      </w:r>
      <w:r w:rsidR="009379EE">
        <w:t>awareness of how to deal with and accommod</w:t>
      </w:r>
      <w:r w:rsidR="00800C80">
        <w:t xml:space="preserve">ate employees with disabilities. In a </w:t>
      </w:r>
      <w:r w:rsidR="000A25A8">
        <w:t>U.S. study examining barriers faced by employers in</w:t>
      </w:r>
      <w:r w:rsidR="00800C80">
        <w:t xml:space="preserve"> hiring and retaining workers with disab</w:t>
      </w:r>
      <w:r w:rsidR="00591CBB">
        <w:t xml:space="preserve">ilities, researchers found that out of 468 completed </w:t>
      </w:r>
      <w:r w:rsidR="000A25A8">
        <w:t xml:space="preserve">employer </w:t>
      </w:r>
      <w:r w:rsidR="00591CBB">
        <w:t>questionnaires, four-fifths of respondents endorsed a lack of awareness regarding accommodatio</w:t>
      </w:r>
      <w:r w:rsidR="000A25A8">
        <w:t>n practices as a primary detractor</w:t>
      </w:r>
      <w:r w:rsidR="00591CBB">
        <w:t xml:space="preserve"> to hiring employees with disabilities. Employers may consequently view hiring individuals with disabilities as an add</w:t>
      </w:r>
      <w:r w:rsidR="000A25A8">
        <w:t xml:space="preserve">ed burden, due to the added investment required to learn about their responsibilities under the law, the need to research appropriate accommodations, and evaluate their costs and benefits, and to further manage unforeseen issues if they arise (Kaye, Jans &amp; Jones, 2011). </w:t>
      </w:r>
    </w:p>
    <w:p w14:paraId="28F431B3" w14:textId="43A88834" w:rsidR="00F91B43" w:rsidRDefault="008267C3" w:rsidP="003C20CE">
      <w:pPr>
        <w:pStyle w:val="BodyText"/>
      </w:pPr>
      <w:r>
        <w:t>Studies discuss ‘disclosure of a disability’ as an area of concern associated with barriers f</w:t>
      </w:r>
      <w:r w:rsidR="00F3343F">
        <w:t>aced by post-secondary</w:t>
      </w:r>
      <w:r>
        <w:t xml:space="preserve"> students with disabilities participating in WIL. Easterbrook et al. (2015) examined the legitimization process of students with disabilities in health and human service educational programs that often include practicums. The authors found students engaged in selective disclosure to manage perceptions of their capabilities with many fearing the impact their disability may have on others’ perceptions of them. However, of those students who disclosed, many reported benefits to disclosure, such as receiving accommodations, educating others, or creating a shared experience with clients. </w:t>
      </w:r>
    </w:p>
    <w:p w14:paraId="337E186B" w14:textId="43C1FEB5" w:rsidR="00F3343F" w:rsidRDefault="008267C3" w:rsidP="00A44F9A">
      <w:pPr>
        <w:pStyle w:val="Normal1"/>
        <w:widowControl w:val="0"/>
        <w:pBdr>
          <w:top w:val="nil"/>
          <w:left w:val="nil"/>
          <w:bottom w:val="nil"/>
          <w:right w:val="nil"/>
          <w:between w:val="nil"/>
        </w:pBdr>
        <w:spacing w:after="360"/>
        <w:jc w:val="both"/>
        <w:rPr>
          <w:color w:val="000000"/>
        </w:rPr>
      </w:pPr>
      <w:r>
        <w:rPr>
          <w:color w:val="000000"/>
        </w:rPr>
        <w:t>An Ontario study mapping the legal landscape for WIL also identified that students with disabilities show a heightened reluctance to disclose disabilities. The study’s authors recommended a need for more proactive communication to encourage students to self-identify early to enable appropriate support to be given in identifying suitable placements and arranging accommodations with placement hosts. Other recommendations the authors noted to decrease barriers faced by students with disabilities participating in WIL focused on improving communication between post-secondary institution disability counselling services and WIL program managers; increased post-secondary institution capacity to identify accommodations needed in a wide range of external workplace contexts; and increased clarity around accommodations being a shared responsibility between post-secondary institutions and placement hosts (Turcotte, Nichols, &amp; Philipps, 2016).</w:t>
      </w:r>
    </w:p>
    <w:p w14:paraId="59DC18C5" w14:textId="77777777" w:rsidR="00F91B43" w:rsidRPr="00384C68" w:rsidRDefault="008267C3" w:rsidP="00384C68">
      <w:pPr>
        <w:pStyle w:val="HeadingE5"/>
      </w:pPr>
      <w:r w:rsidRPr="00384C68">
        <w:t>Students with disabilities: Key points</w:t>
      </w:r>
    </w:p>
    <w:p w14:paraId="6BAF1D8C" w14:textId="77777777" w:rsidR="00F91B43" w:rsidRDefault="008267C3" w:rsidP="0090081D">
      <w:pPr>
        <w:pStyle w:val="Normal1"/>
        <w:widowControl w:val="0"/>
        <w:numPr>
          <w:ilvl w:val="0"/>
          <w:numId w:val="19"/>
        </w:numPr>
        <w:pBdr>
          <w:top w:val="nil"/>
          <w:left w:val="nil"/>
          <w:bottom w:val="nil"/>
          <w:right w:val="nil"/>
          <w:between w:val="nil"/>
        </w:pBdr>
        <w:spacing w:after="120"/>
        <w:rPr>
          <w:i/>
          <w:color w:val="000000"/>
        </w:rPr>
      </w:pPr>
      <w:r>
        <w:rPr>
          <w:i/>
          <w:color w:val="000000"/>
        </w:rPr>
        <w:t xml:space="preserve">University graduates with mild or moderate disabilities have similar employment rates to graduates without disabilities, while graduates with severe disabilities have significantly lower employment rates to those without disabilities. </w:t>
      </w:r>
    </w:p>
    <w:p w14:paraId="380D77D9" w14:textId="77777777" w:rsidR="00F91B43" w:rsidRDefault="008267C3" w:rsidP="0090081D">
      <w:pPr>
        <w:pStyle w:val="Normal1"/>
        <w:widowControl w:val="0"/>
        <w:numPr>
          <w:ilvl w:val="0"/>
          <w:numId w:val="19"/>
        </w:numPr>
        <w:pBdr>
          <w:top w:val="nil"/>
          <w:left w:val="nil"/>
          <w:bottom w:val="nil"/>
          <w:right w:val="nil"/>
          <w:between w:val="nil"/>
        </w:pBdr>
        <w:spacing w:after="120"/>
        <w:jc w:val="both"/>
        <w:rPr>
          <w:i/>
          <w:color w:val="000000"/>
        </w:rPr>
      </w:pPr>
      <w:r>
        <w:rPr>
          <w:i/>
          <w:color w:val="000000"/>
        </w:rPr>
        <w:t xml:space="preserve">The transition from school to the workforce may be more challenging for students with disabilities due to less work experience attained while studying. </w:t>
      </w:r>
    </w:p>
    <w:p w14:paraId="77BBA090" w14:textId="77777777" w:rsidR="00F91B43" w:rsidRDefault="008267C3" w:rsidP="0090081D">
      <w:pPr>
        <w:pStyle w:val="Normal1"/>
        <w:widowControl w:val="0"/>
        <w:numPr>
          <w:ilvl w:val="0"/>
          <w:numId w:val="19"/>
        </w:numPr>
        <w:pBdr>
          <w:top w:val="nil"/>
          <w:left w:val="nil"/>
          <w:bottom w:val="nil"/>
          <w:right w:val="nil"/>
          <w:between w:val="nil"/>
        </w:pBdr>
        <w:spacing w:after="120"/>
        <w:jc w:val="both"/>
        <w:rPr>
          <w:i/>
          <w:color w:val="000000"/>
        </w:rPr>
      </w:pPr>
      <w:r>
        <w:rPr>
          <w:i/>
          <w:color w:val="000000"/>
        </w:rPr>
        <w:t>Barriers to students with disabilities participating in WIL may include limited placement options; prejudiced attitudes that make placement hosts reluctant to select students; negative assumptions about student capability; and inadequate accommodations while on placement.</w:t>
      </w:r>
    </w:p>
    <w:p w14:paraId="5D9C363D" w14:textId="0F650FE5" w:rsidR="00F21E84" w:rsidRDefault="0054471C" w:rsidP="0090081D">
      <w:pPr>
        <w:pStyle w:val="Normal1"/>
        <w:widowControl w:val="0"/>
        <w:numPr>
          <w:ilvl w:val="0"/>
          <w:numId w:val="19"/>
        </w:numPr>
        <w:pBdr>
          <w:top w:val="nil"/>
          <w:left w:val="nil"/>
          <w:bottom w:val="nil"/>
          <w:right w:val="nil"/>
          <w:between w:val="nil"/>
        </w:pBdr>
        <w:spacing w:after="120"/>
        <w:jc w:val="both"/>
        <w:rPr>
          <w:i/>
          <w:color w:val="000000"/>
        </w:rPr>
      </w:pPr>
      <w:r>
        <w:rPr>
          <w:i/>
          <w:color w:val="000000"/>
        </w:rPr>
        <w:t xml:space="preserve">A </w:t>
      </w:r>
      <w:r w:rsidR="00394A1E">
        <w:rPr>
          <w:i/>
          <w:color w:val="000000"/>
        </w:rPr>
        <w:t>key barrier to</w:t>
      </w:r>
      <w:r>
        <w:rPr>
          <w:i/>
          <w:color w:val="000000"/>
        </w:rPr>
        <w:t xml:space="preserve"> employers in hiring individuals with disabilities is a</w:t>
      </w:r>
      <w:r w:rsidR="00F21E84">
        <w:rPr>
          <w:i/>
          <w:color w:val="000000"/>
        </w:rPr>
        <w:t xml:space="preserve"> lack of awareness of how to deal with and accommodate </w:t>
      </w:r>
      <w:r>
        <w:rPr>
          <w:i/>
          <w:color w:val="000000"/>
        </w:rPr>
        <w:t xml:space="preserve">employees with disabilities. </w:t>
      </w:r>
    </w:p>
    <w:p w14:paraId="740BA141" w14:textId="77777777" w:rsidR="00F91B43" w:rsidRDefault="008267C3" w:rsidP="0090081D">
      <w:pPr>
        <w:pStyle w:val="Normal1"/>
        <w:widowControl w:val="0"/>
        <w:numPr>
          <w:ilvl w:val="0"/>
          <w:numId w:val="19"/>
        </w:numPr>
        <w:pBdr>
          <w:top w:val="nil"/>
          <w:left w:val="nil"/>
          <w:bottom w:val="nil"/>
          <w:right w:val="nil"/>
          <w:between w:val="nil"/>
        </w:pBdr>
        <w:spacing w:after="120"/>
        <w:jc w:val="both"/>
        <w:rPr>
          <w:i/>
          <w:color w:val="000000"/>
        </w:rPr>
      </w:pPr>
      <w:r>
        <w:rPr>
          <w:i/>
          <w:color w:val="000000"/>
        </w:rPr>
        <w:t xml:space="preserve">Students with disabilities may be reluctant to disclose their disabilities while undertaking WIL placements, presenting a challenge to providing adequate accommodations. </w:t>
      </w:r>
    </w:p>
    <w:p w14:paraId="7D363F02" w14:textId="77777777" w:rsidR="00F91B43" w:rsidRDefault="008267C3" w:rsidP="00A44F9A">
      <w:pPr>
        <w:pStyle w:val="Normal1"/>
        <w:widowControl w:val="0"/>
        <w:numPr>
          <w:ilvl w:val="0"/>
          <w:numId w:val="19"/>
        </w:numPr>
        <w:pBdr>
          <w:top w:val="nil"/>
          <w:left w:val="nil"/>
          <w:bottom w:val="nil"/>
          <w:right w:val="nil"/>
          <w:between w:val="nil"/>
        </w:pBdr>
        <w:spacing w:after="480"/>
        <w:ind w:left="714" w:hanging="357"/>
        <w:jc w:val="both"/>
        <w:rPr>
          <w:i/>
          <w:color w:val="000000"/>
        </w:rPr>
      </w:pPr>
      <w:r>
        <w:rPr>
          <w:i/>
          <w:color w:val="000000"/>
        </w:rPr>
        <w:t xml:space="preserve">Strategies identified to decrease the barriers students with disabilities experience in participating in WIL focus on enhancing the communication strategies of post-secondary education institutions, and increasing the capacity of post-secondary education institutions to identify suitable accommodations for students with disabilities. </w:t>
      </w:r>
    </w:p>
    <w:p w14:paraId="071BAED4" w14:textId="77777777" w:rsidR="00F91B43" w:rsidRPr="00384C68" w:rsidRDefault="008267C3" w:rsidP="00A44F9A">
      <w:pPr>
        <w:pStyle w:val="HeadingE3"/>
        <w:numPr>
          <w:ilvl w:val="0"/>
          <w:numId w:val="19"/>
        </w:numPr>
        <w:ind w:left="426" w:hanging="426"/>
      </w:pPr>
      <w:bookmarkStart w:id="9" w:name="_Toc403133201"/>
      <w:r w:rsidRPr="00384C68">
        <w:t>Indigenous students</w:t>
      </w:r>
      <w:bookmarkEnd w:id="9"/>
    </w:p>
    <w:p w14:paraId="4C0EB995" w14:textId="2AC2C820" w:rsidR="00F91B43" w:rsidRDefault="008267C3" w:rsidP="003C20CE">
      <w:pPr>
        <w:pStyle w:val="BodyText"/>
      </w:pPr>
      <w:r>
        <w:t>It is well known that a discrepancy in post-secondary educational attainment exists between Indigenous and non-Indigenous Canadians (Coburn &amp; Edge, 2015). According to the 2011</w:t>
      </w:r>
      <w:r>
        <w:rPr>
          <w:color w:val="FF9900"/>
        </w:rPr>
        <w:t xml:space="preserve"> </w:t>
      </w:r>
      <w:r w:rsidRPr="00394A1E">
        <w:t>Statistics Canada</w:t>
      </w:r>
      <w:r w:rsidR="00F62947">
        <w:t xml:space="preserve"> Census, almost half (48.4 percent</w:t>
      </w:r>
      <w:r>
        <w:t>) of Indigenous people aged 25 to 64 had a post-secondary qualification. In comp</w:t>
      </w:r>
      <w:r w:rsidR="00F62947">
        <w:t>arison, almost two-thirds (64.7 percent</w:t>
      </w:r>
      <w:r>
        <w:t xml:space="preserve">) of the non-Indigenous population had a post-secondary qualification (Statistics Canada, 2013a). </w:t>
      </w:r>
    </w:p>
    <w:p w14:paraId="6BF2564D" w14:textId="77777777" w:rsidR="00F91B43" w:rsidRDefault="008267C3" w:rsidP="003C20CE">
      <w:pPr>
        <w:pStyle w:val="BodyText"/>
      </w:pPr>
      <w:r>
        <w:t>The Truth and Reconciliation report acknowledges this disparity in one of its Calls to Action, stating: “We call upon the federal government to develop with Aboriginal groups a joint strategy to eliminate educational and employment gaps between Aboriginal and non-Aboriginal Canadians” (Truth and Reconciliation Commission of Canada, 2015). Pressure to address this disparity is additionally amplified by divergent demographic characteristics of the two population groups. Canada’s Indigenous population is younger than its non-Indigenous population (Statistics Canada, 2013b). It is also projected to be the fastest growing segment of the Canadian population, with expectations that it will grow from approximately 1.2 million in 2006 to between 1.7 million and 2.2 million in 2031 (Caron Malenfant &amp; Morency, 2011). As the Canadian population ages and there is a need to address increasing labour and skills shortages, supporting Indigenous learners offers an opportunity to assist in meeting Canada’s labour market needs (Howard, Edge &amp; Watt, 2012).</w:t>
      </w:r>
    </w:p>
    <w:p w14:paraId="4AE5CB9F" w14:textId="77777777" w:rsidR="00F91B43" w:rsidRDefault="008267C3" w:rsidP="003C20CE">
      <w:pPr>
        <w:pStyle w:val="BodyText"/>
      </w:pPr>
      <w:r>
        <w:t xml:space="preserve">Much literature exists on the barriers Indigenous students face to entering, and succeeding in post-secondary education (for example Preston, 2016; Timmons et al., 2009). Findings from such research have assisted in identifying strategies to support Indigenous students, and some initiatives that have shown success include transition programs, Indigenous student centres, Elders-in-residence, and cohort groups of students. </w:t>
      </w:r>
    </w:p>
    <w:p w14:paraId="6CC17225" w14:textId="77777777" w:rsidR="00F91B43" w:rsidRDefault="008267C3" w:rsidP="003C20CE">
      <w:pPr>
        <w:pStyle w:val="BodyText"/>
      </w:pPr>
      <w:r>
        <w:t xml:space="preserve">While significant research on the issue of Indigenous students entering, and succeeding in post-secondary education has been conducted, little research exists examining Indigenous student participation in WIL. Despite limited research in this area, Hunt-Jinnouchi, McRae &amp; Nagel’s 2008 study for the University of Victoria offers some indication of issues and trends associated with Indigenous student participation in co-operative education, and possible strategies to address these challenges. The study assessed the barriers faced by Indigenous students in accessing and participating in co-operative education, and included an internal interview process with Indigenous student support staff within the co-operative education office, and in other areas across the university; a survey of Indigenous students; and an assessment of enrolment and tuition funding data. </w:t>
      </w:r>
    </w:p>
    <w:p w14:paraId="5444D80C" w14:textId="77777777" w:rsidR="00F91B43" w:rsidRDefault="008267C3" w:rsidP="003C20CE">
      <w:pPr>
        <w:pStyle w:val="BodyText"/>
      </w:pPr>
      <w:r>
        <w:t xml:space="preserve">The study’s authors identified a lack of culturally relevant co-operative education programming and experiences for Indigenous students at the University of Victoria, and the need for university staff time and capacity to build effective partnerships with Indigenous communities, as well as a need for capacity within communities partnering with the university. The authors also identified that particular student characteristics, such as those studying part-time or with dependents, may be less likely to participate in co-operative education due to a lack of awareness of part-time parallel options or other inhibiting factors. </w:t>
      </w:r>
    </w:p>
    <w:p w14:paraId="70211FB2" w14:textId="0D8E8303" w:rsidR="00F91B43" w:rsidRDefault="008267C3" w:rsidP="003C20CE">
      <w:pPr>
        <w:pStyle w:val="BodyText"/>
      </w:pPr>
      <w:r>
        <w:t xml:space="preserve">The authors further identified wider challenges in Indigenous student participation associated with insufficient INAC (Indian and Northern Affairs Canada) student support funding, and gaps in educational attainment prior to entering post-secondary education. Discrepancies in high-school educational attainment were noted to generate a systemic imbalance in the proportion of Indigenous students participating in co-op. A lower number of Indigenous students enter post-secondary education with prerequisite high-school courses for entry to programs such as Engineering and Business, both subject areas </w:t>
      </w:r>
      <w:r w:rsidR="0038470C" w:rsidRPr="0038470C">
        <w:t>that are</w:t>
      </w:r>
      <w:r w:rsidRPr="0038470C">
        <w:t xml:space="preserve"> traditionally</w:t>
      </w:r>
      <w:r>
        <w:t xml:space="preserve"> more likely to offer co-operative education opportunities. </w:t>
      </w:r>
    </w:p>
    <w:p w14:paraId="41C9D99D" w14:textId="77777777" w:rsidR="00F91B43" w:rsidRDefault="008267C3" w:rsidP="003C20CE">
      <w:pPr>
        <w:pStyle w:val="BodyText"/>
      </w:pPr>
      <w:r>
        <w:t xml:space="preserve">Recommendations from the study covered a range of areas, including initiatives to support greater information sharing and communication within the university and between the university and Indigenous communities; creation of Indigenous specific work placements and experiences; and strategies to increase awareness of aspects of co-operative education that may increase student and employer engagement, such as awareness of a service learning program and distance education component of co-operative education. In the longer term, recommendations included an assessment of the feasibility of creating an Indigenous specific co-operative education and career services program; strengthening partnerships with Indigenous led organizations and individuals; and promotion of research on experiential learning for Indigenous students. </w:t>
      </w:r>
    </w:p>
    <w:p w14:paraId="77AE2FE0" w14:textId="77777777" w:rsidR="00F91B43" w:rsidRDefault="008267C3" w:rsidP="00A44F9A">
      <w:pPr>
        <w:pStyle w:val="Normal1"/>
        <w:widowControl w:val="0"/>
        <w:pBdr>
          <w:top w:val="nil"/>
          <w:left w:val="nil"/>
          <w:bottom w:val="nil"/>
          <w:right w:val="nil"/>
          <w:between w:val="nil"/>
        </w:pBdr>
        <w:spacing w:after="360"/>
        <w:jc w:val="both"/>
        <w:rPr>
          <w:color w:val="000000"/>
        </w:rPr>
      </w:pPr>
      <w:r>
        <w:rPr>
          <w:color w:val="000000"/>
        </w:rPr>
        <w:t xml:space="preserve">While increased attention to culturally relevant work experiences for Indigenous students is needed, not all Indigenous students hold close ties to Indigenous communities and culture, or may wish to seek a co-op position directly linked to an Indigenous community. Jacknife (2017) examined Indigenous engineering students’ perspectives of the co-op program at the University of British Columbia Okanagan campus and found that most students did not have a strong connection to Indigenous culture or were ‘neutral’ in their connection. However, more than half of student respondents felt it was important to give back to their community. Students additionally held differing perspectives with respect to whether working with an engineering company that had projects or relationships with Indigenous communities would be more appealing. Half responded that it would increase the appeal of the position, while the rest stated it would not affect their decision. </w:t>
      </w:r>
    </w:p>
    <w:p w14:paraId="706FAE64" w14:textId="77777777" w:rsidR="00F91B43" w:rsidRPr="00384C68" w:rsidRDefault="008267C3" w:rsidP="00384C68">
      <w:pPr>
        <w:pStyle w:val="HeadingE5"/>
      </w:pPr>
      <w:r w:rsidRPr="00384C68">
        <w:t xml:space="preserve">Indigenous students: Key points </w:t>
      </w:r>
    </w:p>
    <w:p w14:paraId="078222A6" w14:textId="77777777" w:rsidR="00F91B43" w:rsidRDefault="008267C3" w:rsidP="0090081D">
      <w:pPr>
        <w:pStyle w:val="Normal1"/>
        <w:widowControl w:val="0"/>
        <w:numPr>
          <w:ilvl w:val="0"/>
          <w:numId w:val="20"/>
        </w:numPr>
        <w:pBdr>
          <w:top w:val="nil"/>
          <w:left w:val="nil"/>
          <w:bottom w:val="nil"/>
          <w:right w:val="nil"/>
          <w:between w:val="nil"/>
        </w:pBdr>
        <w:spacing w:after="120"/>
        <w:jc w:val="both"/>
        <w:rPr>
          <w:i/>
          <w:color w:val="000000"/>
        </w:rPr>
      </w:pPr>
      <w:r>
        <w:rPr>
          <w:i/>
          <w:color w:val="000000"/>
        </w:rPr>
        <w:t xml:space="preserve">The discrepancy in post-secondary educational attainment between Indigenous and non-Indigenous Canadians is well-known and acknowledged in the Truth and Reconciliation report’s calls to action. </w:t>
      </w:r>
    </w:p>
    <w:p w14:paraId="2677F892" w14:textId="77777777" w:rsidR="00F91B43" w:rsidRDefault="008267C3" w:rsidP="0090081D">
      <w:pPr>
        <w:pStyle w:val="Normal1"/>
        <w:widowControl w:val="0"/>
        <w:numPr>
          <w:ilvl w:val="0"/>
          <w:numId w:val="20"/>
        </w:numPr>
        <w:pBdr>
          <w:top w:val="nil"/>
          <w:left w:val="nil"/>
          <w:bottom w:val="nil"/>
          <w:right w:val="nil"/>
          <w:between w:val="nil"/>
        </w:pBdr>
        <w:spacing w:after="120"/>
        <w:jc w:val="both"/>
        <w:rPr>
          <w:i/>
          <w:color w:val="000000"/>
        </w:rPr>
      </w:pPr>
      <w:r>
        <w:rPr>
          <w:i/>
          <w:color w:val="000000"/>
        </w:rPr>
        <w:t>Much literature exists on the barriers Indigenous students face to entering, and succeeding in post-secondary education, but little research exists examining Indigenous student participation in WIL.</w:t>
      </w:r>
    </w:p>
    <w:p w14:paraId="6387D0B4" w14:textId="77777777" w:rsidR="00F91B43" w:rsidRDefault="008267C3" w:rsidP="0090081D">
      <w:pPr>
        <w:pStyle w:val="Normal1"/>
        <w:widowControl w:val="0"/>
        <w:numPr>
          <w:ilvl w:val="0"/>
          <w:numId w:val="20"/>
        </w:numPr>
        <w:pBdr>
          <w:top w:val="nil"/>
          <w:left w:val="nil"/>
          <w:bottom w:val="nil"/>
          <w:right w:val="nil"/>
          <w:between w:val="nil"/>
        </w:pBdr>
        <w:spacing w:after="120"/>
        <w:jc w:val="both"/>
        <w:rPr>
          <w:i/>
          <w:color w:val="000000"/>
        </w:rPr>
      </w:pPr>
      <w:r>
        <w:rPr>
          <w:i/>
          <w:color w:val="000000"/>
        </w:rPr>
        <w:t xml:space="preserve">Based on limited literature, barriers Indigenous students face to participating in WIL may include a lack of culturally relevant WIL opportunities; student characteristics such as part-time study or having dependents; complications associated with federal student funding; and a discrepancy in educational attainment between Indigenous and non-Indigenous students that occurs prior to students entering post-secondary education. </w:t>
      </w:r>
    </w:p>
    <w:p w14:paraId="7F0E3DB4" w14:textId="446703E5" w:rsidR="00F91B43" w:rsidRDefault="00BD2FF0" w:rsidP="0090081D">
      <w:pPr>
        <w:pStyle w:val="Normal1"/>
        <w:widowControl w:val="0"/>
        <w:numPr>
          <w:ilvl w:val="0"/>
          <w:numId w:val="20"/>
        </w:numPr>
        <w:pBdr>
          <w:top w:val="nil"/>
          <w:left w:val="nil"/>
          <w:bottom w:val="nil"/>
          <w:right w:val="nil"/>
          <w:between w:val="nil"/>
        </w:pBdr>
        <w:spacing w:after="120"/>
        <w:jc w:val="both"/>
        <w:rPr>
          <w:i/>
          <w:color w:val="000000"/>
        </w:rPr>
      </w:pPr>
      <w:r>
        <w:rPr>
          <w:i/>
          <w:color w:val="000000"/>
        </w:rPr>
        <w:t>Based on limited literature, s</w:t>
      </w:r>
      <w:r w:rsidR="008267C3">
        <w:rPr>
          <w:i/>
          <w:color w:val="000000"/>
        </w:rPr>
        <w:t>trategies identified to decrease the barriers Indigenous students experience in participating in WIL cover several areas, including</w:t>
      </w:r>
      <w:r w:rsidR="0038470C">
        <w:rPr>
          <w:i/>
          <w:color w:val="000000"/>
        </w:rPr>
        <w:t>:</w:t>
      </w:r>
      <w:r w:rsidR="008267C3">
        <w:rPr>
          <w:i/>
          <w:color w:val="000000"/>
        </w:rPr>
        <w:t xml:space="preserve"> creation of Indigenous specific work placements and experiences; strengthening partnerships between post-secondary institutions and Indigenous led organizations and individuals; and further research on WIL for Indigenous students.</w:t>
      </w:r>
    </w:p>
    <w:p w14:paraId="565940AC" w14:textId="052337D4" w:rsidR="00BD2FF0" w:rsidRPr="0090081D" w:rsidRDefault="00BD2FF0" w:rsidP="00A44F9A">
      <w:pPr>
        <w:pStyle w:val="Normal1"/>
        <w:widowControl w:val="0"/>
        <w:numPr>
          <w:ilvl w:val="0"/>
          <w:numId w:val="20"/>
        </w:numPr>
        <w:pBdr>
          <w:top w:val="nil"/>
          <w:left w:val="nil"/>
          <w:bottom w:val="nil"/>
          <w:right w:val="nil"/>
          <w:between w:val="nil"/>
        </w:pBdr>
        <w:spacing w:after="600"/>
        <w:ind w:left="714" w:hanging="357"/>
        <w:jc w:val="both"/>
        <w:rPr>
          <w:i/>
          <w:color w:val="000000"/>
        </w:rPr>
      </w:pPr>
      <w:r>
        <w:rPr>
          <w:i/>
          <w:color w:val="000000"/>
        </w:rPr>
        <w:t>Increased attention to culturally relevant WIL opportunit</w:t>
      </w:r>
      <w:r w:rsidR="000C7B25">
        <w:rPr>
          <w:i/>
          <w:color w:val="000000"/>
        </w:rPr>
        <w:t xml:space="preserve">ies for Indigenous students is </w:t>
      </w:r>
      <w:r>
        <w:rPr>
          <w:i/>
          <w:color w:val="000000"/>
        </w:rPr>
        <w:t xml:space="preserve">needed, however Indigenous students form a heterogeneous group and recognition of differing student needs is </w:t>
      </w:r>
      <w:r w:rsidR="007D1948">
        <w:rPr>
          <w:i/>
          <w:color w:val="000000"/>
        </w:rPr>
        <w:t>also required</w:t>
      </w:r>
      <w:r>
        <w:rPr>
          <w:i/>
          <w:color w:val="000000"/>
        </w:rPr>
        <w:t xml:space="preserve">. </w:t>
      </w:r>
    </w:p>
    <w:p w14:paraId="60620C1D" w14:textId="67B9D33E" w:rsidR="00F91B43" w:rsidRPr="00384C68" w:rsidRDefault="008267C3" w:rsidP="00384C68">
      <w:pPr>
        <w:pStyle w:val="HeadingE1"/>
      </w:pPr>
      <w:bookmarkStart w:id="10" w:name="_Toc403133202"/>
      <w:r w:rsidRPr="00384C68">
        <w:t>Comparative analysis</w:t>
      </w:r>
      <w:bookmarkEnd w:id="10"/>
      <w:r w:rsidR="00042D93" w:rsidRPr="00384C68">
        <w:t xml:space="preserve"> </w:t>
      </w:r>
    </w:p>
    <w:p w14:paraId="696F8CA6" w14:textId="2C9B09D7" w:rsidR="00892FD9" w:rsidRPr="00892FD9" w:rsidRDefault="00892FD9" w:rsidP="00892FD9">
      <w:pPr>
        <w:pStyle w:val="Normal1"/>
        <w:pBdr>
          <w:top w:val="nil"/>
          <w:left w:val="nil"/>
          <w:bottom w:val="nil"/>
          <w:right w:val="nil"/>
          <w:between w:val="nil"/>
        </w:pBdr>
        <w:spacing w:after="360"/>
        <w:jc w:val="both"/>
        <w:rPr>
          <w:color w:val="000000"/>
        </w:rPr>
      </w:pPr>
      <w:r>
        <w:rPr>
          <w:color w:val="000000"/>
        </w:rPr>
        <w:t xml:space="preserve">This section documents the policies in place to support WIL programming across Canada at the federal and provincial levels, offering an overview of the policy mechanisms being used and areas of targeted support. It is followed by coverage of promising practices in Canada and Australia that highlight examples of initiatives promoting increased equity and WIL participation across stakeholder groups. </w:t>
      </w:r>
    </w:p>
    <w:p w14:paraId="0352B6E5" w14:textId="77777777" w:rsidR="00F91B43" w:rsidRPr="00384C68" w:rsidRDefault="008267C3" w:rsidP="00384C68">
      <w:pPr>
        <w:pStyle w:val="HeadingE2"/>
        <w:spacing w:after="240"/>
      </w:pPr>
      <w:bookmarkStart w:id="11" w:name="_Toc403133203"/>
      <w:r w:rsidRPr="00384C68">
        <w:t>Supports for work-integrated learning across Canada</w:t>
      </w:r>
      <w:bookmarkEnd w:id="11"/>
    </w:p>
    <w:p w14:paraId="173F15A2" w14:textId="48B372F8" w:rsidR="00F91B43" w:rsidRPr="006A688E" w:rsidRDefault="008267C3" w:rsidP="00A44F9A">
      <w:pPr>
        <w:pStyle w:val="HeadingE3"/>
        <w:spacing w:after="60"/>
      </w:pPr>
      <w:r w:rsidRPr="006A688E">
        <w:t>F</w:t>
      </w:r>
      <w:r w:rsidR="00623638">
        <w:t>ederal government supports for work-integrated l</w:t>
      </w:r>
      <w:r w:rsidRPr="006A688E">
        <w:t>earning</w:t>
      </w:r>
    </w:p>
    <w:p w14:paraId="6A2DA24C" w14:textId="77777777" w:rsidR="00F91B43" w:rsidRDefault="008267C3">
      <w:pPr>
        <w:pStyle w:val="Normal1"/>
        <w:pBdr>
          <w:top w:val="nil"/>
          <w:left w:val="nil"/>
          <w:bottom w:val="nil"/>
          <w:right w:val="nil"/>
          <w:between w:val="nil"/>
        </w:pBdr>
        <w:spacing w:after="240"/>
        <w:jc w:val="both"/>
        <w:rPr>
          <w:color w:val="000000"/>
        </w:rPr>
      </w:pPr>
      <w:r>
        <w:rPr>
          <w:color w:val="000000"/>
        </w:rPr>
        <w:t xml:space="preserve">Several federal government programs are offered to support WIL. The Student Work Placement Program is the most recently introduced, in Budget 2016. </w:t>
      </w:r>
    </w:p>
    <w:p w14:paraId="73B82229" w14:textId="77777777" w:rsidR="00F91B43" w:rsidRPr="00384C68" w:rsidRDefault="008267C3" w:rsidP="00384C68">
      <w:pPr>
        <w:pStyle w:val="HeadingE4"/>
      </w:pPr>
      <w:r w:rsidRPr="00384C68">
        <w:t xml:space="preserve">Student Work Placement Program </w:t>
      </w:r>
    </w:p>
    <w:p w14:paraId="7A0375F4" w14:textId="77777777" w:rsidR="00F91B43" w:rsidRDefault="008267C3" w:rsidP="003C20CE">
      <w:pPr>
        <w:pStyle w:val="BodyText"/>
      </w:pPr>
      <w:r>
        <w:t>The Student Work Placement Program will provide post-secondary students in science, technology, engineering and mathematics (STEM) and business more work placements and improved partnerships between employers and post-secondary education institutions.</w:t>
      </w:r>
    </w:p>
    <w:p w14:paraId="7A8435C9" w14:textId="0B6771D4" w:rsidR="00F91B43" w:rsidRPr="0020050B" w:rsidRDefault="008267C3" w:rsidP="0020050B">
      <w:pPr>
        <w:pStyle w:val="BodyText"/>
        <w:spacing w:after="480"/>
      </w:pPr>
      <w:r>
        <w:t>Agreements are to be put in place with employer delivery partners, including recognized industry associations and organizations that represent the interests of businesses in key sectors in STEM and business. These partners will be responsible for establishing partnerships with employers and post-secondary education institutions, and will provide eligible employers in STEM and business with wage subsidies for student work placements. Wage subsidies will cover up to 50 percent of the wage cost for the placement (up to a maximum of $5,000 per placement) and up to 70 percent (up to a maximum of $7,000 per placement) for first-year students and under-represented groups, such as women in STEM, Indigenous students, people with disabilities and newcomers (Employment and Social Development Canada, 2018).</w:t>
      </w:r>
    </w:p>
    <w:p w14:paraId="3D105030" w14:textId="7AB7527D" w:rsidR="00F91B43" w:rsidRPr="006A688E" w:rsidRDefault="00623638" w:rsidP="00397B8F">
      <w:pPr>
        <w:pStyle w:val="HeadingE3"/>
        <w:spacing w:after="240"/>
      </w:pPr>
      <w:r>
        <w:t>Provincial government supports for work-integrated l</w:t>
      </w:r>
      <w:r w:rsidR="008267C3" w:rsidRPr="006A688E">
        <w:t>earning</w:t>
      </w:r>
    </w:p>
    <w:p w14:paraId="35E11821" w14:textId="77777777" w:rsidR="00F91B43" w:rsidRPr="00CE1F45" w:rsidRDefault="008267C3" w:rsidP="00397B8F">
      <w:pPr>
        <w:pStyle w:val="Heading8"/>
        <w:spacing w:before="0"/>
        <w:rPr>
          <w:rStyle w:val="BookTitle"/>
          <w:b/>
          <w:i w:val="0"/>
          <w:sz w:val="26"/>
          <w:szCs w:val="26"/>
        </w:rPr>
      </w:pPr>
      <w:r w:rsidRPr="00CE1F45">
        <w:rPr>
          <w:rStyle w:val="BookTitle"/>
          <w:b/>
          <w:i w:val="0"/>
          <w:sz w:val="26"/>
          <w:szCs w:val="26"/>
        </w:rPr>
        <w:t>Ontario</w:t>
      </w:r>
    </w:p>
    <w:p w14:paraId="08912639" w14:textId="437400DE" w:rsidR="009C5EE4" w:rsidRDefault="008267C3" w:rsidP="009C5EE4">
      <w:pPr>
        <w:pStyle w:val="Normal1"/>
        <w:pBdr>
          <w:top w:val="nil"/>
          <w:left w:val="nil"/>
          <w:bottom w:val="nil"/>
          <w:right w:val="nil"/>
          <w:between w:val="nil"/>
        </w:pBdr>
        <w:spacing w:after="240"/>
        <w:jc w:val="both"/>
        <w:rPr>
          <w:color w:val="000000"/>
        </w:rPr>
      </w:pPr>
      <w:r>
        <w:rPr>
          <w:color w:val="000000"/>
        </w:rPr>
        <w:t xml:space="preserve">Ontario is the most advanced province in its provision of WIL programming, and in 2017, boosted its investment in WIL through rollout of the Career Kick-Start Strategy. The strategy supports the Ontario government’s Highly Skilled Workforce goal of providing a meaningful experiential learning activity to all post-secondary students. It also expands support beyond the province’s Co-operative Education Tax Credit – the oldest and most generous of its kind in Canada. </w:t>
      </w:r>
    </w:p>
    <w:p w14:paraId="7A220335" w14:textId="77777777" w:rsidR="00F91B43" w:rsidRPr="008F3BBD" w:rsidRDefault="008267C3" w:rsidP="009C5EE4">
      <w:pPr>
        <w:pStyle w:val="Normal1"/>
        <w:numPr>
          <w:ilvl w:val="0"/>
          <w:numId w:val="21"/>
        </w:numPr>
        <w:pBdr>
          <w:top w:val="nil"/>
          <w:left w:val="nil"/>
          <w:bottom w:val="nil"/>
          <w:right w:val="nil"/>
          <w:between w:val="nil"/>
        </w:pBdr>
        <w:shd w:val="clear" w:color="auto" w:fill="FFFFFF"/>
        <w:spacing w:after="0"/>
        <w:ind w:left="425" w:right="301" w:hanging="425"/>
        <w:jc w:val="both"/>
        <w:rPr>
          <w:b/>
          <w:i/>
          <w:color w:val="000000"/>
        </w:rPr>
      </w:pPr>
      <w:bookmarkStart w:id="12" w:name="_lnxbz9" w:colFirst="0" w:colLast="0"/>
      <w:bookmarkEnd w:id="12"/>
      <w:r w:rsidRPr="008F3BBD">
        <w:rPr>
          <w:b/>
          <w:i/>
          <w:color w:val="000000"/>
        </w:rPr>
        <w:t>Career Kick-Start Strategy</w:t>
      </w:r>
    </w:p>
    <w:p w14:paraId="05E21379" w14:textId="77777777" w:rsidR="00F91B43" w:rsidRDefault="008267C3">
      <w:pPr>
        <w:pStyle w:val="Normal1"/>
        <w:widowControl w:val="0"/>
        <w:pBdr>
          <w:top w:val="nil"/>
          <w:left w:val="nil"/>
          <w:bottom w:val="nil"/>
          <w:right w:val="nil"/>
          <w:between w:val="nil"/>
        </w:pBdr>
        <w:spacing w:after="240"/>
        <w:jc w:val="both"/>
        <w:rPr>
          <w:color w:val="000000"/>
        </w:rPr>
      </w:pPr>
      <w:r>
        <w:rPr>
          <w:color w:val="000000"/>
        </w:rPr>
        <w:t xml:space="preserve">Introduced in the 2017 Ontario Budget, the Career Kick-Start Strategy will invest $190 million to create 40,000 new experiential and real-world learning opportunities over three years for K-12 and post-secondary students, as well as recent graduates (Ontario Ministry of Advanced Education and Skills Development, 2017a). The program includes the following components: </w:t>
      </w:r>
    </w:p>
    <w:p w14:paraId="4000AF79" w14:textId="77777777" w:rsidR="00F91B43" w:rsidRPr="0090081D" w:rsidRDefault="008267C3" w:rsidP="009C5EE4">
      <w:pPr>
        <w:pStyle w:val="Normal1"/>
        <w:numPr>
          <w:ilvl w:val="0"/>
          <w:numId w:val="21"/>
        </w:numPr>
        <w:pBdr>
          <w:top w:val="nil"/>
          <w:left w:val="nil"/>
          <w:bottom w:val="nil"/>
          <w:right w:val="nil"/>
          <w:between w:val="nil"/>
        </w:pBdr>
        <w:shd w:val="clear" w:color="auto" w:fill="FFFFFF"/>
        <w:spacing w:after="0"/>
        <w:ind w:left="425" w:right="301" w:hanging="425"/>
        <w:jc w:val="both"/>
        <w:rPr>
          <w:rStyle w:val="Strong"/>
          <w:i/>
        </w:rPr>
      </w:pPr>
      <w:r w:rsidRPr="0090081D">
        <w:rPr>
          <w:rStyle w:val="Strong"/>
          <w:i/>
        </w:rPr>
        <w:t xml:space="preserve">Ontario Internship Program </w:t>
      </w:r>
    </w:p>
    <w:p w14:paraId="755894DD" w14:textId="77777777" w:rsidR="00F91B43" w:rsidRDefault="008267C3" w:rsidP="009C5EE4">
      <w:pPr>
        <w:pStyle w:val="Normal1"/>
        <w:pBdr>
          <w:top w:val="nil"/>
          <w:left w:val="nil"/>
          <w:bottom w:val="nil"/>
          <w:right w:val="nil"/>
          <w:between w:val="nil"/>
        </w:pBdr>
        <w:shd w:val="clear" w:color="auto" w:fill="FFFFFF"/>
        <w:spacing w:after="240"/>
        <w:ind w:right="301"/>
        <w:jc w:val="both"/>
        <w:rPr>
          <w:color w:val="000000"/>
        </w:rPr>
      </w:pPr>
      <w:r>
        <w:rPr>
          <w:color w:val="000000"/>
        </w:rPr>
        <w:t xml:space="preserve">The Ontario Government’s Ontario Internship Program for new graduates will be expanded to create 100 new placements per year. </w:t>
      </w:r>
    </w:p>
    <w:p w14:paraId="6253CF4E" w14:textId="77777777" w:rsidR="00F91B43" w:rsidRDefault="008267C3" w:rsidP="009C5EE4">
      <w:pPr>
        <w:pStyle w:val="Normal1"/>
        <w:numPr>
          <w:ilvl w:val="0"/>
          <w:numId w:val="21"/>
        </w:numPr>
        <w:pBdr>
          <w:top w:val="nil"/>
          <w:left w:val="nil"/>
          <w:bottom w:val="nil"/>
          <w:right w:val="nil"/>
          <w:between w:val="nil"/>
        </w:pBdr>
        <w:shd w:val="clear" w:color="auto" w:fill="FFFFFF"/>
        <w:spacing w:after="0"/>
        <w:ind w:left="425" w:right="301" w:hanging="425"/>
        <w:jc w:val="both"/>
        <w:rPr>
          <w:b/>
          <w:i/>
          <w:color w:val="000000"/>
        </w:rPr>
      </w:pPr>
      <w:r>
        <w:rPr>
          <w:b/>
          <w:i/>
          <w:color w:val="000000"/>
        </w:rPr>
        <w:t xml:space="preserve">Career Ready Fund </w:t>
      </w:r>
    </w:p>
    <w:p w14:paraId="4444C844" w14:textId="77777777" w:rsidR="00F91B43" w:rsidRDefault="008267C3" w:rsidP="003C20CE">
      <w:pPr>
        <w:pStyle w:val="BodyText"/>
      </w:pPr>
      <w:r>
        <w:t>The Career Ready Fund is a $67.6 million, three-year fund established to help post-secondary institutions, employers, and partners (including industry associations and NGOs) to offer 20,000 experiential learning opportunities for post</w:t>
      </w:r>
      <w:r w:rsidR="00B773C0">
        <w:t>-</w:t>
      </w:r>
      <w:r>
        <w:t xml:space="preserve">secondary students. The fund will create approximately 20,000 experiential learning opportunities for post-secondary education students and recent graduates. </w:t>
      </w:r>
    </w:p>
    <w:p w14:paraId="6BB401EE" w14:textId="1918A8DC" w:rsidR="001C7A45" w:rsidRPr="0090081D" w:rsidRDefault="008267C3" w:rsidP="003C20CE">
      <w:pPr>
        <w:pStyle w:val="BodyText"/>
      </w:pPr>
      <w:r>
        <w:t xml:space="preserve">Under the Career Ready </w:t>
      </w:r>
      <w:r w:rsidRPr="002A26D9">
        <w:t>Fund,</w:t>
      </w:r>
      <w:r>
        <w:t xml:space="preserve"> staged funding is being provided across three streams. The first stream supports initiatives at publicly-assisted post-secondary institutions that include additional placement coordinators, curriculum redesign, faculty training, technology support, and marketing. One of the goals of this funding is to improve access to experiential learning opportunities for students who, without interventions and support, might not otherwise participate in post-secondary education, including experiential learning opportunities (Ontario Ministry of Advanced Education and Skills Development, 2017b). </w:t>
      </w:r>
    </w:p>
    <w:p w14:paraId="4F85737D" w14:textId="77777777" w:rsidR="00F91B43" w:rsidRDefault="008267C3" w:rsidP="009C5EE4">
      <w:pPr>
        <w:pStyle w:val="Normal1"/>
        <w:numPr>
          <w:ilvl w:val="0"/>
          <w:numId w:val="21"/>
        </w:numPr>
        <w:pBdr>
          <w:top w:val="nil"/>
          <w:left w:val="nil"/>
          <w:bottom w:val="nil"/>
          <w:right w:val="nil"/>
          <w:between w:val="nil"/>
        </w:pBdr>
        <w:shd w:val="clear" w:color="auto" w:fill="FFFFFF"/>
        <w:spacing w:after="0"/>
        <w:ind w:left="425" w:right="301" w:hanging="425"/>
        <w:jc w:val="both"/>
        <w:rPr>
          <w:b/>
          <w:i/>
          <w:color w:val="000000"/>
        </w:rPr>
      </w:pPr>
      <w:r>
        <w:rPr>
          <w:b/>
          <w:i/>
          <w:color w:val="000000"/>
        </w:rPr>
        <w:t xml:space="preserve">Employer and Regional Partnerships </w:t>
      </w:r>
    </w:p>
    <w:p w14:paraId="4DAC5E0C" w14:textId="77777777" w:rsidR="00F91B43" w:rsidRDefault="008267C3" w:rsidP="005B7647">
      <w:pPr>
        <w:pStyle w:val="Normal1"/>
        <w:pBdr>
          <w:top w:val="nil"/>
          <w:left w:val="nil"/>
          <w:bottom w:val="nil"/>
          <w:right w:val="nil"/>
          <w:between w:val="nil"/>
        </w:pBdr>
        <w:shd w:val="clear" w:color="auto" w:fill="FFFFFF"/>
        <w:spacing w:after="240"/>
        <w:ind w:right="301"/>
        <w:jc w:val="both"/>
        <w:rPr>
          <w:color w:val="000000"/>
        </w:rPr>
      </w:pPr>
      <w:r>
        <w:rPr>
          <w:color w:val="000000"/>
        </w:rPr>
        <w:t xml:space="preserve">Under the Career Ready Fund Employer and Regional Partnerships will provide seed funding to support the development and expansion of innovative and sustainable, local, sectoral, and province-wide partnerships to create experiential learning opportunities among employers, post-secondary institutions, and other parties. Employers, intermediaries (such as industry associations and NGOs), publicly-assisted post-secondary institutions, or consortia of these groups will be eligible for funding.  </w:t>
      </w:r>
    </w:p>
    <w:p w14:paraId="68A0D1D1" w14:textId="77777777" w:rsidR="00F91B43" w:rsidRDefault="008267C3" w:rsidP="006434C1">
      <w:pPr>
        <w:pStyle w:val="Normal1"/>
        <w:numPr>
          <w:ilvl w:val="0"/>
          <w:numId w:val="21"/>
        </w:numPr>
        <w:pBdr>
          <w:top w:val="nil"/>
          <w:left w:val="nil"/>
          <w:bottom w:val="nil"/>
          <w:right w:val="nil"/>
          <w:between w:val="nil"/>
        </w:pBdr>
        <w:shd w:val="clear" w:color="auto" w:fill="FFFFFF"/>
        <w:spacing w:before="240" w:after="0"/>
        <w:ind w:left="425" w:right="301" w:hanging="425"/>
        <w:jc w:val="both"/>
        <w:rPr>
          <w:b/>
          <w:i/>
          <w:color w:val="000000"/>
        </w:rPr>
      </w:pPr>
      <w:r>
        <w:rPr>
          <w:b/>
          <w:i/>
          <w:color w:val="000000"/>
        </w:rPr>
        <w:t>New Grad Career Bridge</w:t>
      </w:r>
    </w:p>
    <w:p w14:paraId="7C9E287F" w14:textId="77777777" w:rsidR="00F91B43" w:rsidRDefault="008267C3" w:rsidP="005B7647">
      <w:pPr>
        <w:pStyle w:val="Normal1"/>
        <w:widowControl w:val="0"/>
        <w:pBdr>
          <w:top w:val="nil"/>
          <w:left w:val="nil"/>
          <w:bottom w:val="nil"/>
          <w:right w:val="nil"/>
          <w:between w:val="nil"/>
        </w:pBdr>
        <w:spacing w:after="240"/>
        <w:jc w:val="both"/>
        <w:rPr>
          <w:color w:val="000000"/>
        </w:rPr>
      </w:pPr>
      <w:r>
        <w:rPr>
          <w:color w:val="000000"/>
        </w:rPr>
        <w:t>The New Grad Career Bridge is an initiative under the Career Ready Fund to support the hiring of recent graduates. It will support the placement of recent graduates in ‘internship-like’ experiences; the development of open license curriculum to deliver job-ready skills; and will offer support for operating costs of programs designed to enhance outreach to employers to create opportunities for graduates; or the monitoring of graduate hiring and placements. Employers, intermediaries (such as industry associations and NGOs), and publicly-assisted post</w:t>
      </w:r>
      <w:r w:rsidR="00B773C0">
        <w:rPr>
          <w:color w:val="000000"/>
        </w:rPr>
        <w:t>-</w:t>
      </w:r>
      <w:r>
        <w:rPr>
          <w:color w:val="000000"/>
        </w:rPr>
        <w:t xml:space="preserve">secondary institutions are eligible for funding. Successful applicants can receive funding for two years, with additional consideration given to projects that include matching cash or in-kind contributions. </w:t>
      </w:r>
    </w:p>
    <w:p w14:paraId="5A848DB7" w14:textId="77777777" w:rsidR="00F91B43" w:rsidRDefault="008267C3" w:rsidP="006434C1">
      <w:pPr>
        <w:pStyle w:val="Normal1"/>
        <w:numPr>
          <w:ilvl w:val="0"/>
          <w:numId w:val="21"/>
        </w:numPr>
        <w:pBdr>
          <w:top w:val="nil"/>
          <w:left w:val="nil"/>
          <w:bottom w:val="nil"/>
          <w:right w:val="nil"/>
          <w:between w:val="nil"/>
        </w:pBdr>
        <w:spacing w:after="0"/>
        <w:ind w:left="425" w:hanging="425"/>
        <w:jc w:val="both"/>
        <w:rPr>
          <w:i/>
          <w:color w:val="000000"/>
        </w:rPr>
      </w:pPr>
      <w:r>
        <w:rPr>
          <w:b/>
          <w:i/>
          <w:color w:val="000000"/>
        </w:rPr>
        <w:t>Co-operative Education Tax Credit (CETC</w:t>
      </w:r>
      <w:r>
        <w:rPr>
          <w:i/>
          <w:color w:val="000000"/>
        </w:rPr>
        <w:t xml:space="preserve">) </w:t>
      </w:r>
    </w:p>
    <w:p w14:paraId="2A3D8FCE" w14:textId="77777777" w:rsidR="00F91B43" w:rsidRDefault="008267C3" w:rsidP="003C20CE">
      <w:pPr>
        <w:pStyle w:val="BodyText"/>
      </w:pPr>
      <w:r>
        <w:t xml:space="preserve">The </w:t>
      </w:r>
      <w:r>
        <w:rPr>
          <w:i/>
        </w:rPr>
        <w:t xml:space="preserve">Co-operative Education Tax Credit </w:t>
      </w:r>
      <w:r>
        <w:t xml:space="preserve">(CETC) was introduced in 1996 and enhanced in 2009 (Ontario Government, 1996, 2009). It is available to corporations or unincorporated businesses that are subject to Ontario income tax when they hire students enrolled in a qualifying co-operative education program at a college or university. Certain placements described as internships can also qualify. </w:t>
      </w:r>
    </w:p>
    <w:p w14:paraId="16C2A203" w14:textId="34B78053" w:rsidR="00F91B43" w:rsidRDefault="004756CA" w:rsidP="0020050B">
      <w:pPr>
        <w:pStyle w:val="BodyText"/>
      </w:pPr>
      <w:r>
        <w:t>Employers may claim 25 percent</w:t>
      </w:r>
      <w:r w:rsidR="008267C3">
        <w:t xml:space="preserve"> of their eligible expenses including wages, taxable benefits and fees to employment agencies up to a maximum of $3,000 per four-month placement </w:t>
      </w:r>
      <w:r>
        <w:t xml:space="preserve">(small businesses may claim 30 percent </w:t>
      </w:r>
      <w:r w:rsidR="008267C3">
        <w:t xml:space="preserve">of eligible expenses). The credit is reduced by the amount of any other government assistance received in respect of the placement. Other criteria associated with the CETC include minimum and maximum time allocation for placements, and certification from the learning institution that the placement meets certain criteria (Canada Revenue Agency, 2018a). </w:t>
      </w:r>
    </w:p>
    <w:p w14:paraId="201C51B4" w14:textId="77777777" w:rsidR="009C5EE4" w:rsidRDefault="009C5EE4" w:rsidP="0020050B">
      <w:pPr>
        <w:pStyle w:val="BodyText"/>
      </w:pPr>
    </w:p>
    <w:p w14:paraId="43CE0E34" w14:textId="77777777" w:rsidR="00F91B43" w:rsidRDefault="008267C3" w:rsidP="006434C1">
      <w:pPr>
        <w:pStyle w:val="Normal1"/>
        <w:widowControl w:val="0"/>
        <w:numPr>
          <w:ilvl w:val="0"/>
          <w:numId w:val="21"/>
        </w:numPr>
        <w:pBdr>
          <w:top w:val="nil"/>
          <w:left w:val="nil"/>
          <w:bottom w:val="nil"/>
          <w:right w:val="nil"/>
          <w:between w:val="nil"/>
        </w:pBdr>
        <w:spacing w:after="0"/>
        <w:ind w:left="425" w:hanging="425"/>
        <w:rPr>
          <w:b/>
          <w:i/>
          <w:color w:val="000000"/>
          <w:highlight w:val="white"/>
        </w:rPr>
      </w:pPr>
      <w:r>
        <w:rPr>
          <w:b/>
          <w:i/>
          <w:color w:val="000000"/>
        </w:rPr>
        <w:t xml:space="preserve">Apprenticeship Training Tax Credit (ATTC) and </w:t>
      </w:r>
      <w:r>
        <w:rPr>
          <w:b/>
          <w:i/>
          <w:color w:val="000000"/>
          <w:highlight w:val="white"/>
        </w:rPr>
        <w:t>Graduated Apprenticeship Grant for Employers (GAGE)</w:t>
      </w:r>
    </w:p>
    <w:p w14:paraId="5303B4CF" w14:textId="77777777" w:rsidR="00F91B43" w:rsidRDefault="008267C3" w:rsidP="003C20CE">
      <w:pPr>
        <w:pStyle w:val="BodyText"/>
      </w:pPr>
      <w:r>
        <w:t>The ATTC is a refundable tax credit available to employers who hire and train apprentices in certain skilled trades in apprenticeship programs that commenced on or before November 14, 2017. Qualifying businesses can claim 25 per cent of eligible expenditures (30 per cent for small businesses) made during the first 36 months of an apprenticeship program up to a maximum of $15,000 (Ontario Ministry of Finance, 2017).</w:t>
      </w:r>
    </w:p>
    <w:p w14:paraId="503C53D2" w14:textId="77777777" w:rsidR="00F91B43" w:rsidRDefault="008267C3" w:rsidP="003C20CE">
      <w:pPr>
        <w:pStyle w:val="BodyText"/>
        <w:rPr>
          <w:highlight w:val="white"/>
        </w:rPr>
      </w:pPr>
      <w:r>
        <w:rPr>
          <w:highlight w:val="white"/>
        </w:rPr>
        <w:t>The Ontario Government announced in 2017 that it would transform the Apprenticeship Training Tax Credit (ATTC) into a Graduated Apprenticeship Grant for Employers (GAGE). </w:t>
      </w:r>
    </w:p>
    <w:p w14:paraId="35688B56" w14:textId="77777777" w:rsidR="00F91B43" w:rsidRDefault="008267C3" w:rsidP="00397B8F">
      <w:pPr>
        <w:pStyle w:val="BodyText"/>
        <w:spacing w:after="360"/>
        <w:rPr>
          <w:color w:val="4D4D4D"/>
        </w:rPr>
      </w:pPr>
      <w:r>
        <w:t>The GAGE assists with the cost of training apprentices in over 100 eligible trades for apprentices registered after November 14, 2017. Employers can receive up to $16,700 under the program, and a bonus of $2,500 if an apprentice is from an underrepresented group that includes women, Indigenous peoples, Francophones, people with disabilities, newcomers or racialized people. To be eligible for the grant, apprentices are required to achieve key milestones such as levels of classroom training, and must also receive final certification (Ontario Government, 2018).</w:t>
      </w:r>
    </w:p>
    <w:p w14:paraId="06B6393D" w14:textId="77777777" w:rsidR="00F91B43" w:rsidRPr="00CE1F45" w:rsidRDefault="008267C3" w:rsidP="006434C1">
      <w:pPr>
        <w:pStyle w:val="Quote"/>
        <w:spacing w:after="0"/>
        <w:rPr>
          <w:rStyle w:val="BookTitle"/>
          <w:b/>
          <w:iCs w:val="0"/>
          <w:sz w:val="26"/>
          <w:szCs w:val="26"/>
        </w:rPr>
      </w:pPr>
      <w:r w:rsidRPr="00CE1F45">
        <w:rPr>
          <w:rStyle w:val="BookTitle"/>
          <w:b/>
          <w:iCs w:val="0"/>
          <w:sz w:val="26"/>
          <w:szCs w:val="26"/>
        </w:rPr>
        <w:t>British Columbia</w:t>
      </w:r>
    </w:p>
    <w:p w14:paraId="17BE8838" w14:textId="77777777" w:rsidR="00F91B43" w:rsidRDefault="008267C3" w:rsidP="009C5EE4">
      <w:pPr>
        <w:pStyle w:val="Normal1"/>
        <w:pBdr>
          <w:top w:val="nil"/>
          <w:left w:val="nil"/>
          <w:bottom w:val="nil"/>
          <w:right w:val="nil"/>
          <w:between w:val="nil"/>
        </w:pBdr>
        <w:spacing w:after="240"/>
        <w:jc w:val="both"/>
        <w:rPr>
          <w:color w:val="000000"/>
        </w:rPr>
      </w:pPr>
      <w:r>
        <w:rPr>
          <w:color w:val="000000"/>
        </w:rPr>
        <w:t xml:space="preserve">Unlike Ontario, B.C. does not offer extensive grant funding or tax credits to support WIL, instead offering targeted grant funding to small companies in the technology sector. </w:t>
      </w:r>
    </w:p>
    <w:p w14:paraId="037C8285" w14:textId="77777777" w:rsidR="00F91B43" w:rsidRDefault="008267C3" w:rsidP="009C5EE4">
      <w:pPr>
        <w:pStyle w:val="Normal1"/>
        <w:numPr>
          <w:ilvl w:val="0"/>
          <w:numId w:val="21"/>
        </w:numPr>
        <w:pBdr>
          <w:top w:val="nil"/>
          <w:left w:val="nil"/>
          <w:bottom w:val="nil"/>
          <w:right w:val="nil"/>
          <w:between w:val="nil"/>
        </w:pBdr>
        <w:shd w:val="clear" w:color="auto" w:fill="FFFFFF"/>
        <w:spacing w:before="240" w:after="0"/>
        <w:ind w:left="425" w:hanging="425"/>
        <w:rPr>
          <w:b/>
          <w:i/>
          <w:color w:val="000000"/>
        </w:rPr>
      </w:pPr>
      <w:r>
        <w:rPr>
          <w:b/>
          <w:i/>
          <w:color w:val="000000"/>
        </w:rPr>
        <w:t>B.C. Tech Co-op Grant</w:t>
      </w:r>
    </w:p>
    <w:p w14:paraId="5AA7E84E" w14:textId="77777777" w:rsidR="00F91B43" w:rsidRDefault="008267C3" w:rsidP="0020050B">
      <w:pPr>
        <w:pStyle w:val="Normal1"/>
        <w:pBdr>
          <w:top w:val="nil"/>
          <w:left w:val="nil"/>
          <w:bottom w:val="nil"/>
          <w:right w:val="nil"/>
          <w:between w:val="nil"/>
        </w:pBdr>
        <w:spacing w:after="240"/>
        <w:jc w:val="both"/>
        <w:rPr>
          <w:color w:val="000000"/>
          <w:highlight w:val="white"/>
        </w:rPr>
      </w:pPr>
      <w:r>
        <w:rPr>
          <w:color w:val="000000"/>
          <w:highlight w:val="white"/>
        </w:rPr>
        <w:t xml:space="preserve">Administered by Innovate B.C., the B.C. Tech Co-op Grant was </w:t>
      </w:r>
      <w:r>
        <w:rPr>
          <w:highlight w:val="white"/>
        </w:rPr>
        <w:t>launched in May 2015</w:t>
      </w:r>
      <w:r>
        <w:rPr>
          <w:color w:val="000000"/>
          <w:highlight w:val="white"/>
        </w:rPr>
        <w:t xml:space="preserve"> to provide access to talent for </w:t>
      </w:r>
      <w:r>
        <w:rPr>
          <w:color w:val="000000"/>
        </w:rPr>
        <w:t xml:space="preserve">small technology companies while giving students exposure to B.C.’s technology sector. </w:t>
      </w:r>
      <w:r>
        <w:rPr>
          <w:color w:val="000000"/>
          <w:highlight w:val="white"/>
        </w:rPr>
        <w:t>Each employer is eligible to receive a maximum of four grants each per fiscal year valued at $2,700 (a total value of $10,800) (British Columbia Government, 2018a).</w:t>
      </w:r>
    </w:p>
    <w:p w14:paraId="7687D6D1" w14:textId="77777777" w:rsidR="00F91B43" w:rsidRDefault="008267C3">
      <w:pPr>
        <w:pStyle w:val="Normal1"/>
        <w:pBdr>
          <w:top w:val="nil"/>
          <w:left w:val="nil"/>
          <w:bottom w:val="nil"/>
          <w:right w:val="nil"/>
          <w:between w:val="nil"/>
        </w:pBdr>
        <w:shd w:val="clear" w:color="auto" w:fill="FFFFFF"/>
        <w:spacing w:before="240" w:after="120"/>
        <w:jc w:val="both"/>
        <w:rPr>
          <w:color w:val="000000"/>
        </w:rPr>
      </w:pPr>
      <w:r>
        <w:rPr>
          <w:color w:val="000000"/>
        </w:rPr>
        <w:t>Eligible employers must:</w:t>
      </w:r>
    </w:p>
    <w:p w14:paraId="54491200" w14:textId="77777777" w:rsidR="00F91B43" w:rsidRDefault="008267C3" w:rsidP="006903C2">
      <w:pPr>
        <w:pStyle w:val="Normal1"/>
        <w:numPr>
          <w:ilvl w:val="0"/>
          <w:numId w:val="27"/>
        </w:numPr>
        <w:pBdr>
          <w:top w:val="nil"/>
          <w:left w:val="nil"/>
          <w:bottom w:val="nil"/>
          <w:right w:val="nil"/>
          <w:between w:val="nil"/>
        </w:pBdr>
        <w:spacing w:after="0"/>
        <w:contextualSpacing/>
        <w:jc w:val="both"/>
      </w:pPr>
      <w:r>
        <w:rPr>
          <w:color w:val="000000"/>
        </w:rPr>
        <w:t>Be a BC-based company</w:t>
      </w:r>
    </w:p>
    <w:p w14:paraId="1244706E" w14:textId="77777777" w:rsidR="00F91B43" w:rsidRDefault="008267C3" w:rsidP="006903C2">
      <w:pPr>
        <w:pStyle w:val="Normal1"/>
        <w:numPr>
          <w:ilvl w:val="0"/>
          <w:numId w:val="27"/>
        </w:numPr>
        <w:pBdr>
          <w:top w:val="nil"/>
          <w:left w:val="nil"/>
          <w:bottom w:val="nil"/>
          <w:right w:val="nil"/>
          <w:between w:val="nil"/>
        </w:pBdr>
        <w:spacing w:after="0"/>
        <w:contextualSpacing/>
        <w:jc w:val="both"/>
      </w:pPr>
      <w:r>
        <w:rPr>
          <w:color w:val="000000"/>
        </w:rPr>
        <w:t>Have less than 100 employees on payroll</w:t>
      </w:r>
    </w:p>
    <w:p w14:paraId="6699EB0C" w14:textId="77777777" w:rsidR="00F91B43" w:rsidRDefault="008267C3" w:rsidP="006903C2">
      <w:pPr>
        <w:pStyle w:val="Normal1"/>
        <w:numPr>
          <w:ilvl w:val="0"/>
          <w:numId w:val="27"/>
        </w:numPr>
        <w:pBdr>
          <w:top w:val="nil"/>
          <w:left w:val="nil"/>
          <w:bottom w:val="nil"/>
          <w:right w:val="nil"/>
          <w:between w:val="nil"/>
        </w:pBdr>
        <w:spacing w:after="0"/>
        <w:contextualSpacing/>
        <w:jc w:val="both"/>
      </w:pPr>
      <w:r>
        <w:rPr>
          <w:color w:val="000000"/>
        </w:rPr>
        <w:t>Be a tech company hiring for any role</w:t>
      </w:r>
    </w:p>
    <w:p w14:paraId="39DB2951" w14:textId="77777777" w:rsidR="00F91B43" w:rsidRDefault="008267C3" w:rsidP="006903C2">
      <w:pPr>
        <w:pStyle w:val="Normal1"/>
        <w:numPr>
          <w:ilvl w:val="0"/>
          <w:numId w:val="27"/>
        </w:numPr>
        <w:pBdr>
          <w:top w:val="nil"/>
          <w:left w:val="nil"/>
          <w:bottom w:val="nil"/>
          <w:right w:val="nil"/>
          <w:between w:val="nil"/>
        </w:pBdr>
        <w:spacing w:after="0"/>
        <w:contextualSpacing/>
        <w:jc w:val="both"/>
      </w:pPr>
      <w:r>
        <w:rPr>
          <w:color w:val="000000"/>
        </w:rPr>
        <w:t xml:space="preserve">Be a non-tech company, organization or non-profit hiring for a tech role </w:t>
      </w:r>
    </w:p>
    <w:p w14:paraId="27CCC8DE" w14:textId="77777777" w:rsidR="00F91B43" w:rsidRDefault="008267C3" w:rsidP="0020050B">
      <w:pPr>
        <w:pStyle w:val="Normal1"/>
        <w:numPr>
          <w:ilvl w:val="0"/>
          <w:numId w:val="27"/>
        </w:numPr>
        <w:pBdr>
          <w:top w:val="nil"/>
          <w:left w:val="nil"/>
          <w:bottom w:val="nil"/>
          <w:right w:val="nil"/>
          <w:between w:val="nil"/>
        </w:pBdr>
        <w:spacing w:after="240"/>
        <w:ind w:left="714" w:hanging="357"/>
        <w:jc w:val="both"/>
      </w:pPr>
      <w:r>
        <w:rPr>
          <w:color w:val="000000"/>
        </w:rPr>
        <w:t>Be hiring a student for a co-op work term. If the employer has hired a student for a co-op work term in the last 5 years they are required to hire a first-time co-op student.</w:t>
      </w:r>
    </w:p>
    <w:p w14:paraId="7642A837" w14:textId="40D86287" w:rsidR="00F91B43" w:rsidRDefault="008267C3" w:rsidP="0020050B">
      <w:pPr>
        <w:pStyle w:val="Normal1"/>
        <w:pBdr>
          <w:top w:val="nil"/>
          <w:left w:val="nil"/>
          <w:bottom w:val="nil"/>
          <w:right w:val="nil"/>
          <w:between w:val="nil"/>
        </w:pBdr>
        <w:shd w:val="clear" w:color="auto" w:fill="FFFFFF"/>
        <w:spacing w:after="240"/>
        <w:jc w:val="both"/>
        <w:rPr>
          <w:color w:val="000000"/>
          <w:highlight w:val="white"/>
        </w:rPr>
      </w:pPr>
      <w:r>
        <w:rPr>
          <w:color w:val="000000"/>
        </w:rPr>
        <w:t>Eligible students must be enrolled in an approved co-op program</w:t>
      </w:r>
      <w:r w:rsidR="00652099">
        <w:rPr>
          <w:color w:val="000000"/>
        </w:rPr>
        <w:t xml:space="preserve">, </w:t>
      </w:r>
      <w:r w:rsidR="002A26D9">
        <w:rPr>
          <w:color w:val="000000"/>
        </w:rPr>
        <w:t>or in a WIL program that meets the BC Tech Co-op Grant</w:t>
      </w:r>
      <w:r w:rsidR="00652099">
        <w:rPr>
          <w:color w:val="000000"/>
        </w:rPr>
        <w:t xml:space="preserve"> program requirements. The role must be the student’s</w:t>
      </w:r>
      <w:r>
        <w:rPr>
          <w:color w:val="000000"/>
        </w:rPr>
        <w:t xml:space="preserve"> first co-op placement, or the </w:t>
      </w:r>
      <w:r>
        <w:rPr>
          <w:color w:val="000000"/>
          <w:highlight w:val="white"/>
        </w:rPr>
        <w:t xml:space="preserve">company must be employing their first co-op student in at least the last five years (BC Innovation Council, 2018). </w:t>
      </w:r>
    </w:p>
    <w:p w14:paraId="112AF1F2" w14:textId="7B7E52FA" w:rsidR="00623638" w:rsidRDefault="008267C3">
      <w:pPr>
        <w:pStyle w:val="Normal1"/>
        <w:shd w:val="clear" w:color="auto" w:fill="FFFFFF"/>
        <w:spacing w:before="235" w:after="280"/>
        <w:jc w:val="both"/>
        <w:rPr>
          <w:highlight w:val="white"/>
        </w:rPr>
      </w:pPr>
      <w:r w:rsidRPr="00453983">
        <w:rPr>
          <w:highlight w:val="white"/>
        </w:rPr>
        <w:t>The Grant Program received $10.5 million in provincial government funding. To date, the program has issued a total of 1,427 grants, equivalent to an average of 476 grants per year (</w:t>
      </w:r>
      <w:r w:rsidR="00CB6114" w:rsidRPr="00453983">
        <w:rPr>
          <w:highlight w:val="white"/>
        </w:rPr>
        <w:t>D. Wood, p</w:t>
      </w:r>
      <w:r w:rsidRPr="00453983">
        <w:rPr>
          <w:highlight w:val="white"/>
        </w:rPr>
        <w:t>ersonal communication, October 16, 2018).</w:t>
      </w:r>
    </w:p>
    <w:p w14:paraId="37907867" w14:textId="6058A588" w:rsidR="00F91B43" w:rsidRPr="00453983" w:rsidRDefault="008267C3" w:rsidP="00623638">
      <w:pPr>
        <w:spacing w:after="120"/>
        <w:rPr>
          <w:highlight w:val="white"/>
        </w:rPr>
      </w:pPr>
      <w:r w:rsidRPr="00453983">
        <w:rPr>
          <w:highlight w:val="white"/>
        </w:rPr>
        <w:t xml:space="preserve">Table 1: B.C. Tech Co-op Grant program results for 2015-16 to 2017-18. </w:t>
      </w:r>
    </w:p>
    <w:tbl>
      <w:tblPr>
        <w:tblStyle w:val="a"/>
        <w:tblW w:w="7085" w:type="dxa"/>
        <w:tblBorders>
          <w:top w:val="nil"/>
          <w:left w:val="nil"/>
          <w:bottom w:val="nil"/>
          <w:right w:val="nil"/>
          <w:insideH w:val="nil"/>
          <w:insideV w:val="nil"/>
        </w:tblBorders>
        <w:tblLayout w:type="fixed"/>
        <w:tblLook w:val="0600" w:firstRow="0" w:lastRow="0" w:firstColumn="0" w:lastColumn="0" w:noHBand="1" w:noVBand="1"/>
      </w:tblPr>
      <w:tblGrid>
        <w:gridCol w:w="2570"/>
        <w:gridCol w:w="1505"/>
        <w:gridCol w:w="1505"/>
        <w:gridCol w:w="1505"/>
      </w:tblGrid>
      <w:tr w:rsidR="00F91B43" w:rsidRPr="00453983" w14:paraId="0F6E248E" w14:textId="77777777">
        <w:trPr>
          <w:trHeight w:val="500"/>
        </w:trPr>
        <w:tc>
          <w:tcPr>
            <w:tcW w:w="25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7D6B1"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 xml:space="preserve"> </w:t>
            </w:r>
          </w:p>
        </w:tc>
        <w:tc>
          <w:tcPr>
            <w:tcW w:w="150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76A424E1"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2015-16</w:t>
            </w:r>
          </w:p>
        </w:tc>
        <w:tc>
          <w:tcPr>
            <w:tcW w:w="150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227D11D"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2016-17</w:t>
            </w:r>
          </w:p>
        </w:tc>
        <w:tc>
          <w:tcPr>
            <w:tcW w:w="150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C8E054D"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2017-18</w:t>
            </w:r>
          </w:p>
        </w:tc>
      </w:tr>
      <w:tr w:rsidR="00F91B43" w:rsidRPr="00453983" w14:paraId="6BDCE2DE" w14:textId="77777777">
        <w:trPr>
          <w:trHeight w:val="500"/>
        </w:trPr>
        <w:tc>
          <w:tcPr>
            <w:tcW w:w="257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0F7D1D4D"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Number of grants issued</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4DD9D1E9"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264</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3856C7AA"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612</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74368D6F"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551</w:t>
            </w:r>
          </w:p>
        </w:tc>
      </w:tr>
      <w:tr w:rsidR="00F91B43" w:rsidRPr="00453983" w14:paraId="27DF1977" w14:textId="77777777">
        <w:trPr>
          <w:trHeight w:val="500"/>
        </w:trPr>
        <w:tc>
          <w:tcPr>
            <w:tcW w:w="257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13F84F1E"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First time employer</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37FFFE1A"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101</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72C3FADE"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190</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637C052A"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168</w:t>
            </w:r>
          </w:p>
        </w:tc>
      </w:tr>
      <w:tr w:rsidR="00F91B43" w:rsidRPr="00453983" w14:paraId="1E0981FE" w14:textId="77777777">
        <w:trPr>
          <w:trHeight w:val="500"/>
        </w:trPr>
        <w:tc>
          <w:tcPr>
            <w:tcW w:w="257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4E0B1B7"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First time student</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2B0E77E6"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220</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651A71CB"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389</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428C5E46"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279</w:t>
            </w:r>
          </w:p>
        </w:tc>
      </w:tr>
    </w:tbl>
    <w:p w14:paraId="5F92E829" w14:textId="77777777" w:rsidR="00F91B43" w:rsidRPr="00453983" w:rsidRDefault="008267C3" w:rsidP="00623638">
      <w:pPr>
        <w:pStyle w:val="Normal1"/>
        <w:shd w:val="clear" w:color="auto" w:fill="FFFFFF"/>
        <w:spacing w:before="235" w:after="120"/>
        <w:jc w:val="both"/>
        <w:rPr>
          <w:highlight w:val="white"/>
        </w:rPr>
      </w:pPr>
      <w:r w:rsidRPr="00453983">
        <w:rPr>
          <w:highlight w:val="white"/>
        </w:rPr>
        <w:t xml:space="preserve">Table 2: B.C. Tech Co-op Grant funding dispersed for 2015-16 to 2017-18. </w:t>
      </w:r>
    </w:p>
    <w:tbl>
      <w:tblPr>
        <w:tblStyle w:val="a0"/>
        <w:tblW w:w="8605" w:type="dxa"/>
        <w:tblBorders>
          <w:top w:val="nil"/>
          <w:left w:val="nil"/>
          <w:bottom w:val="nil"/>
          <w:right w:val="nil"/>
          <w:insideH w:val="nil"/>
          <w:insideV w:val="nil"/>
        </w:tblBorders>
        <w:tblLayout w:type="fixed"/>
        <w:tblLook w:val="0600" w:firstRow="0" w:lastRow="0" w:firstColumn="0" w:lastColumn="0" w:noHBand="1" w:noVBand="1"/>
      </w:tblPr>
      <w:tblGrid>
        <w:gridCol w:w="2540"/>
        <w:gridCol w:w="1505"/>
        <w:gridCol w:w="1520"/>
        <w:gridCol w:w="1520"/>
        <w:gridCol w:w="1520"/>
      </w:tblGrid>
      <w:tr w:rsidR="00F91B43" w:rsidRPr="00453983" w14:paraId="3A8E5215" w14:textId="77777777">
        <w:trPr>
          <w:trHeight w:val="500"/>
        </w:trPr>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52B9"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 xml:space="preserve"> </w:t>
            </w:r>
          </w:p>
        </w:tc>
        <w:tc>
          <w:tcPr>
            <w:tcW w:w="150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C2F5746"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2015-16</w:t>
            </w:r>
          </w:p>
        </w:tc>
        <w:tc>
          <w:tcPr>
            <w:tcW w:w="152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F3410FE"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2016-17</w:t>
            </w:r>
          </w:p>
        </w:tc>
        <w:tc>
          <w:tcPr>
            <w:tcW w:w="152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2B7C9DB7"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2017-18</w:t>
            </w:r>
          </w:p>
        </w:tc>
        <w:tc>
          <w:tcPr>
            <w:tcW w:w="152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66BB4D38"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Total</w:t>
            </w:r>
          </w:p>
        </w:tc>
      </w:tr>
      <w:tr w:rsidR="00F91B43" w:rsidRPr="00453983" w14:paraId="49482191" w14:textId="77777777">
        <w:trPr>
          <w:trHeight w:val="500"/>
        </w:trPr>
        <w:tc>
          <w:tcPr>
            <w:tcW w:w="254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00EFC952"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Funding dispersed</w:t>
            </w:r>
          </w:p>
        </w:tc>
        <w:tc>
          <w:tcPr>
            <w:tcW w:w="1505" w:type="dxa"/>
            <w:tcBorders>
              <w:top w:val="nil"/>
              <w:left w:val="nil"/>
              <w:bottom w:val="single" w:sz="4" w:space="0" w:color="000000"/>
              <w:right w:val="single" w:sz="4" w:space="0" w:color="000000"/>
            </w:tcBorders>
            <w:tcMar>
              <w:top w:w="100" w:type="dxa"/>
              <w:left w:w="100" w:type="dxa"/>
              <w:bottom w:w="100" w:type="dxa"/>
              <w:right w:w="100" w:type="dxa"/>
            </w:tcMar>
          </w:tcPr>
          <w:p w14:paraId="0A0B1287"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$712,800</w:t>
            </w:r>
          </w:p>
        </w:tc>
        <w:tc>
          <w:tcPr>
            <w:tcW w:w="1520" w:type="dxa"/>
            <w:tcBorders>
              <w:top w:val="nil"/>
              <w:left w:val="nil"/>
              <w:bottom w:val="single" w:sz="4" w:space="0" w:color="000000"/>
              <w:right w:val="single" w:sz="4" w:space="0" w:color="000000"/>
            </w:tcBorders>
            <w:tcMar>
              <w:top w:w="100" w:type="dxa"/>
              <w:left w:w="100" w:type="dxa"/>
              <w:bottom w:w="100" w:type="dxa"/>
              <w:right w:w="100" w:type="dxa"/>
            </w:tcMar>
          </w:tcPr>
          <w:p w14:paraId="65D2804F"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$1,652,400</w:t>
            </w:r>
          </w:p>
        </w:tc>
        <w:tc>
          <w:tcPr>
            <w:tcW w:w="1520" w:type="dxa"/>
            <w:tcBorders>
              <w:top w:val="nil"/>
              <w:left w:val="nil"/>
              <w:bottom w:val="single" w:sz="4" w:space="0" w:color="000000"/>
              <w:right w:val="single" w:sz="4" w:space="0" w:color="000000"/>
            </w:tcBorders>
            <w:tcMar>
              <w:top w:w="100" w:type="dxa"/>
              <w:left w:w="100" w:type="dxa"/>
              <w:bottom w:w="100" w:type="dxa"/>
              <w:right w:w="100" w:type="dxa"/>
            </w:tcMar>
          </w:tcPr>
          <w:p w14:paraId="5791560A"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$1,487,700</w:t>
            </w:r>
          </w:p>
        </w:tc>
        <w:tc>
          <w:tcPr>
            <w:tcW w:w="1520" w:type="dxa"/>
            <w:tcBorders>
              <w:top w:val="nil"/>
              <w:left w:val="nil"/>
              <w:bottom w:val="single" w:sz="4" w:space="0" w:color="000000"/>
              <w:right w:val="single" w:sz="4" w:space="0" w:color="000000"/>
            </w:tcBorders>
            <w:tcMar>
              <w:top w:w="100" w:type="dxa"/>
              <w:left w:w="100" w:type="dxa"/>
              <w:bottom w:w="100" w:type="dxa"/>
              <w:right w:w="100" w:type="dxa"/>
            </w:tcMar>
          </w:tcPr>
          <w:p w14:paraId="7D9E9F09" w14:textId="77777777" w:rsidR="00F91B43" w:rsidRPr="00453983" w:rsidRDefault="008267C3">
            <w:pPr>
              <w:pStyle w:val="Normal1"/>
              <w:widowControl w:val="0"/>
              <w:pBdr>
                <w:top w:val="nil"/>
                <w:left w:val="nil"/>
                <w:bottom w:val="nil"/>
                <w:right w:val="nil"/>
                <w:between w:val="nil"/>
              </w:pBdr>
              <w:spacing w:after="0"/>
              <w:rPr>
                <w:highlight w:val="white"/>
              </w:rPr>
            </w:pPr>
            <w:r w:rsidRPr="00453983">
              <w:rPr>
                <w:highlight w:val="white"/>
              </w:rPr>
              <w:t>$3,852,900</w:t>
            </w:r>
          </w:p>
        </w:tc>
      </w:tr>
    </w:tbl>
    <w:p w14:paraId="0D1B09CC" w14:textId="2E8CEEE9" w:rsidR="00F91B43" w:rsidRPr="00453983" w:rsidRDefault="008267C3" w:rsidP="003D70B9">
      <w:pPr>
        <w:pStyle w:val="Normal1"/>
        <w:shd w:val="clear" w:color="auto" w:fill="FFFFFF"/>
        <w:spacing w:before="240" w:after="240"/>
        <w:jc w:val="both"/>
        <w:rPr>
          <w:highlight w:val="white"/>
        </w:rPr>
      </w:pPr>
      <w:r w:rsidRPr="00453983">
        <w:rPr>
          <w:highlight w:val="white"/>
        </w:rPr>
        <w:t>The rate of applications received for the B.C. Tech Co-op Grant that are declined is approximately 10 percent, and the decline rate after application approval is approximately 30 percent. Reasons for grants being declined after application approval include: the company did not hire a student and deferred the grant to another term; the company did not hire a student on their first co-op term; or the company hired a student that was not part of a co-op program.</w:t>
      </w:r>
    </w:p>
    <w:p w14:paraId="61538185" w14:textId="77777777" w:rsidR="00F91B43" w:rsidRDefault="008267C3" w:rsidP="005D4808">
      <w:pPr>
        <w:pStyle w:val="Normal1"/>
        <w:numPr>
          <w:ilvl w:val="0"/>
          <w:numId w:val="21"/>
        </w:numPr>
        <w:pBdr>
          <w:top w:val="nil"/>
          <w:left w:val="nil"/>
          <w:bottom w:val="nil"/>
          <w:right w:val="nil"/>
          <w:between w:val="nil"/>
        </w:pBdr>
        <w:shd w:val="clear" w:color="auto" w:fill="FFFFFF"/>
        <w:spacing w:after="0"/>
        <w:ind w:left="425" w:hanging="425"/>
        <w:jc w:val="both"/>
        <w:rPr>
          <w:b/>
          <w:i/>
          <w:color w:val="000000"/>
        </w:rPr>
      </w:pPr>
      <w:r>
        <w:rPr>
          <w:b/>
          <w:i/>
          <w:color w:val="000000"/>
        </w:rPr>
        <w:t>Innovator Skills Initiative</w:t>
      </w:r>
    </w:p>
    <w:p w14:paraId="5B9CB4CE" w14:textId="6B7F849D" w:rsidR="00F91B43" w:rsidRDefault="008267C3" w:rsidP="003D70B9">
      <w:pPr>
        <w:pStyle w:val="Normal1"/>
        <w:pBdr>
          <w:top w:val="nil"/>
          <w:left w:val="nil"/>
          <w:bottom w:val="nil"/>
          <w:right w:val="nil"/>
          <w:between w:val="nil"/>
        </w:pBdr>
        <w:shd w:val="clear" w:color="auto" w:fill="FFFFFF"/>
        <w:spacing w:after="120"/>
        <w:jc w:val="both"/>
        <w:rPr>
          <w:color w:val="000000"/>
        </w:rPr>
      </w:pPr>
      <w:r>
        <w:rPr>
          <w:color w:val="000000"/>
        </w:rPr>
        <w:t>Administered by New Ventures BC, the Innovator Skills Initiative (ISI) offers up to $10,000 a year to employers hiring business or tech students who are not in a co-op program. Employers are eligible for up to $5,00</w:t>
      </w:r>
      <w:r w:rsidR="009C5EE4">
        <w:rPr>
          <w:color w:val="000000"/>
        </w:rPr>
        <w:t>0 per term (New Ventures BC, n.</w:t>
      </w:r>
      <w:r>
        <w:rPr>
          <w:color w:val="000000"/>
        </w:rPr>
        <w:t xml:space="preserve">d.). </w:t>
      </w:r>
    </w:p>
    <w:p w14:paraId="25D12A2A" w14:textId="77777777" w:rsidR="00F91B43" w:rsidRDefault="008267C3" w:rsidP="003D70B9">
      <w:pPr>
        <w:pStyle w:val="Normal1"/>
        <w:pBdr>
          <w:top w:val="nil"/>
          <w:left w:val="nil"/>
          <w:bottom w:val="nil"/>
          <w:right w:val="nil"/>
          <w:between w:val="nil"/>
        </w:pBdr>
        <w:shd w:val="clear" w:color="auto" w:fill="FFFFFF"/>
        <w:spacing w:after="120"/>
        <w:jc w:val="both"/>
        <w:rPr>
          <w:color w:val="000000"/>
        </w:rPr>
      </w:pPr>
      <w:r>
        <w:rPr>
          <w:color w:val="000000"/>
        </w:rPr>
        <w:t xml:space="preserve">Eligible employers must: </w:t>
      </w:r>
    </w:p>
    <w:p w14:paraId="644B533D" w14:textId="77777777" w:rsidR="00F91B43" w:rsidRDefault="008267C3" w:rsidP="005D4808">
      <w:pPr>
        <w:pStyle w:val="Normal1"/>
        <w:numPr>
          <w:ilvl w:val="0"/>
          <w:numId w:val="22"/>
        </w:numPr>
        <w:pBdr>
          <w:top w:val="nil"/>
          <w:left w:val="nil"/>
          <w:bottom w:val="nil"/>
          <w:right w:val="nil"/>
          <w:between w:val="nil"/>
        </w:pBdr>
        <w:spacing w:after="0" w:line="273" w:lineRule="auto"/>
        <w:jc w:val="both"/>
      </w:pPr>
      <w:r>
        <w:rPr>
          <w:color w:val="000000"/>
        </w:rPr>
        <w:t>Be a BC-based company</w:t>
      </w:r>
    </w:p>
    <w:p w14:paraId="38C53E07" w14:textId="77777777" w:rsidR="00F91B43" w:rsidRDefault="008267C3" w:rsidP="005D4808">
      <w:pPr>
        <w:pStyle w:val="Normal1"/>
        <w:numPr>
          <w:ilvl w:val="0"/>
          <w:numId w:val="22"/>
        </w:numPr>
        <w:pBdr>
          <w:top w:val="nil"/>
          <w:left w:val="nil"/>
          <w:bottom w:val="nil"/>
          <w:right w:val="nil"/>
          <w:between w:val="nil"/>
        </w:pBdr>
        <w:spacing w:after="0" w:line="273" w:lineRule="auto"/>
        <w:jc w:val="both"/>
      </w:pPr>
      <w:r>
        <w:rPr>
          <w:color w:val="000000"/>
        </w:rPr>
        <w:t>Be a tech company or start-up</w:t>
      </w:r>
    </w:p>
    <w:p w14:paraId="01E9577B" w14:textId="77777777" w:rsidR="00F91B43" w:rsidRDefault="008267C3" w:rsidP="005D4808">
      <w:pPr>
        <w:pStyle w:val="Normal1"/>
        <w:numPr>
          <w:ilvl w:val="0"/>
          <w:numId w:val="22"/>
        </w:numPr>
        <w:pBdr>
          <w:top w:val="nil"/>
          <w:left w:val="nil"/>
          <w:bottom w:val="nil"/>
          <w:right w:val="nil"/>
          <w:between w:val="nil"/>
        </w:pBdr>
        <w:spacing w:after="0" w:line="273" w:lineRule="auto"/>
        <w:jc w:val="both"/>
      </w:pPr>
      <w:r>
        <w:rPr>
          <w:color w:val="000000"/>
        </w:rPr>
        <w:t xml:space="preserve">Be a non-profit tech organization </w:t>
      </w:r>
    </w:p>
    <w:p w14:paraId="6FCDC15A" w14:textId="77777777" w:rsidR="00F91B43" w:rsidRDefault="008267C3" w:rsidP="005D4808">
      <w:pPr>
        <w:pStyle w:val="Normal1"/>
        <w:numPr>
          <w:ilvl w:val="0"/>
          <w:numId w:val="22"/>
        </w:numPr>
        <w:pBdr>
          <w:top w:val="nil"/>
          <w:left w:val="nil"/>
          <w:bottom w:val="nil"/>
          <w:right w:val="nil"/>
          <w:between w:val="nil"/>
        </w:pBdr>
        <w:spacing w:after="0" w:line="273" w:lineRule="auto"/>
        <w:jc w:val="both"/>
      </w:pPr>
      <w:r>
        <w:rPr>
          <w:color w:val="000000"/>
        </w:rPr>
        <w:t>Be hiring a post-secondary student from an accredited institution in B.C. who is not in a co-op program</w:t>
      </w:r>
    </w:p>
    <w:p w14:paraId="437F9854" w14:textId="77777777" w:rsidR="00F91B43" w:rsidRDefault="008267C3" w:rsidP="005D4808">
      <w:pPr>
        <w:pStyle w:val="Normal1"/>
        <w:numPr>
          <w:ilvl w:val="0"/>
          <w:numId w:val="22"/>
        </w:numPr>
        <w:pBdr>
          <w:top w:val="nil"/>
          <w:left w:val="nil"/>
          <w:bottom w:val="nil"/>
          <w:right w:val="nil"/>
          <w:between w:val="nil"/>
        </w:pBdr>
        <w:spacing w:after="0" w:line="273" w:lineRule="auto"/>
        <w:jc w:val="both"/>
      </w:pPr>
      <w:r>
        <w:rPr>
          <w:color w:val="000000"/>
        </w:rPr>
        <w:t xml:space="preserve">Be hiring a student in a business or technical role </w:t>
      </w:r>
    </w:p>
    <w:p w14:paraId="51EBD8EC" w14:textId="20FEBEE2" w:rsidR="00F91B43" w:rsidRDefault="008267C3" w:rsidP="009C5EE4">
      <w:pPr>
        <w:pStyle w:val="Normal1"/>
        <w:numPr>
          <w:ilvl w:val="0"/>
          <w:numId w:val="22"/>
        </w:numPr>
        <w:pBdr>
          <w:top w:val="nil"/>
          <w:left w:val="nil"/>
          <w:bottom w:val="nil"/>
          <w:right w:val="nil"/>
          <w:between w:val="nil"/>
        </w:pBdr>
        <w:spacing w:after="240" w:line="274" w:lineRule="auto"/>
        <w:ind w:left="714" w:hanging="357"/>
        <w:jc w:val="both"/>
      </w:pPr>
      <w:r>
        <w:rPr>
          <w:color w:val="000000"/>
        </w:rPr>
        <w:t>Match grant funding in cash, or a combination of cash and up to 25 percent in-kind</w:t>
      </w:r>
    </w:p>
    <w:p w14:paraId="5FEDBF28" w14:textId="77777777" w:rsidR="00F91B43" w:rsidRDefault="008267C3" w:rsidP="005D4808">
      <w:pPr>
        <w:pStyle w:val="Normal1"/>
        <w:numPr>
          <w:ilvl w:val="0"/>
          <w:numId w:val="22"/>
        </w:numPr>
        <w:pBdr>
          <w:top w:val="nil"/>
          <w:left w:val="nil"/>
          <w:bottom w:val="nil"/>
          <w:right w:val="nil"/>
          <w:between w:val="nil"/>
        </w:pBdr>
        <w:spacing w:after="0"/>
        <w:ind w:left="425" w:hanging="425"/>
        <w:jc w:val="both"/>
        <w:rPr>
          <w:b/>
          <w:i/>
          <w:color w:val="000000"/>
        </w:rPr>
      </w:pPr>
      <w:r>
        <w:rPr>
          <w:b/>
          <w:i/>
          <w:color w:val="000000"/>
        </w:rPr>
        <w:t xml:space="preserve">Apprenticeship Training Tax Credit </w:t>
      </w:r>
    </w:p>
    <w:p w14:paraId="3ECB512D" w14:textId="68A1BFCE" w:rsidR="00F91B43" w:rsidRDefault="008267C3" w:rsidP="0020050B">
      <w:pPr>
        <w:pStyle w:val="Normal1"/>
        <w:pBdr>
          <w:top w:val="nil"/>
          <w:left w:val="nil"/>
          <w:bottom w:val="nil"/>
          <w:right w:val="nil"/>
          <w:between w:val="nil"/>
        </w:pBdr>
        <w:spacing w:after="240"/>
        <w:jc w:val="both"/>
        <w:rPr>
          <w:color w:val="000000"/>
        </w:rPr>
      </w:pPr>
      <w:r>
        <w:rPr>
          <w:color w:val="000000"/>
          <w:highlight w:val="white"/>
        </w:rPr>
        <w:t>Effective until the end of 2018</w:t>
      </w:r>
      <w:r>
        <w:rPr>
          <w:color w:val="000000"/>
        </w:rPr>
        <w:t xml:space="preserve">, </w:t>
      </w:r>
      <w:r>
        <w:rPr>
          <w:color w:val="000000"/>
          <w:highlight w:val="white"/>
        </w:rPr>
        <w:t>the Apprenticeship Training Tax Credit is for employers and apprentices who take part in eligible apprenticeship programs administered through the Industry Training Authority (</w:t>
      </w:r>
      <w:r w:rsidR="009C5EE4">
        <w:rPr>
          <w:color w:val="000000"/>
          <w:highlight w:val="white"/>
        </w:rPr>
        <w:t>British Columbia Government, n.</w:t>
      </w:r>
      <w:r>
        <w:rPr>
          <w:color w:val="000000"/>
          <w:highlight w:val="white"/>
        </w:rPr>
        <w:t xml:space="preserve">d.). </w:t>
      </w:r>
    </w:p>
    <w:p w14:paraId="18F5F78D" w14:textId="77777777" w:rsidR="00F91B43" w:rsidRDefault="008267C3">
      <w:pPr>
        <w:pStyle w:val="Normal1"/>
        <w:pBdr>
          <w:top w:val="nil"/>
          <w:left w:val="nil"/>
          <w:bottom w:val="nil"/>
          <w:right w:val="nil"/>
          <w:between w:val="nil"/>
        </w:pBdr>
        <w:jc w:val="both"/>
        <w:rPr>
          <w:color w:val="000000"/>
        </w:rPr>
      </w:pPr>
      <w:r>
        <w:rPr>
          <w:color w:val="000000"/>
        </w:rPr>
        <w:t xml:space="preserve">Three types of tax credit are available under the program: </w:t>
      </w:r>
    </w:p>
    <w:p w14:paraId="2F26ABA6" w14:textId="48489EFF" w:rsidR="00F91B43" w:rsidRDefault="008267C3" w:rsidP="005D4808">
      <w:pPr>
        <w:pStyle w:val="Normal1"/>
        <w:numPr>
          <w:ilvl w:val="0"/>
          <w:numId w:val="23"/>
        </w:numPr>
        <w:pBdr>
          <w:top w:val="nil"/>
          <w:left w:val="nil"/>
          <w:bottom w:val="nil"/>
          <w:right w:val="nil"/>
          <w:between w:val="nil"/>
        </w:pBdr>
        <w:spacing w:after="0"/>
        <w:contextualSpacing/>
        <w:jc w:val="both"/>
        <w:rPr>
          <w:color w:val="000000"/>
        </w:rPr>
      </w:pPr>
      <w:r>
        <w:rPr>
          <w:color w:val="000000"/>
        </w:rPr>
        <w:t xml:space="preserve">Basic </w:t>
      </w:r>
      <w:r w:rsidR="00652099">
        <w:rPr>
          <w:color w:val="000000"/>
        </w:rPr>
        <w:t xml:space="preserve">tax </w:t>
      </w:r>
      <w:r>
        <w:rPr>
          <w:color w:val="000000"/>
        </w:rPr>
        <w:t>credit for non-Red Seal training programs</w:t>
      </w:r>
    </w:p>
    <w:p w14:paraId="7993C775" w14:textId="25088131" w:rsidR="00F91B43" w:rsidRDefault="008267C3" w:rsidP="005D4808">
      <w:pPr>
        <w:pStyle w:val="Normal1"/>
        <w:numPr>
          <w:ilvl w:val="0"/>
          <w:numId w:val="23"/>
        </w:numPr>
        <w:pBdr>
          <w:top w:val="nil"/>
          <w:left w:val="nil"/>
          <w:bottom w:val="nil"/>
          <w:right w:val="nil"/>
          <w:between w:val="nil"/>
        </w:pBdr>
        <w:spacing w:after="0"/>
        <w:contextualSpacing/>
        <w:jc w:val="both"/>
        <w:rPr>
          <w:color w:val="000000"/>
        </w:rPr>
      </w:pPr>
      <w:r>
        <w:rPr>
          <w:color w:val="000000"/>
        </w:rPr>
        <w:t xml:space="preserve">Completion </w:t>
      </w:r>
      <w:r w:rsidR="00652099">
        <w:rPr>
          <w:color w:val="000000"/>
        </w:rPr>
        <w:t xml:space="preserve">tax </w:t>
      </w:r>
      <w:r>
        <w:rPr>
          <w:color w:val="000000"/>
        </w:rPr>
        <w:t>credit for Red Seal and non-Red Seal training programs</w:t>
      </w:r>
    </w:p>
    <w:p w14:paraId="3557D0A3" w14:textId="5251057F" w:rsidR="00F91B43" w:rsidRDefault="008267C3" w:rsidP="005D4808">
      <w:pPr>
        <w:pStyle w:val="Normal1"/>
        <w:numPr>
          <w:ilvl w:val="0"/>
          <w:numId w:val="23"/>
        </w:numPr>
        <w:pBdr>
          <w:top w:val="nil"/>
          <w:left w:val="nil"/>
          <w:bottom w:val="nil"/>
          <w:right w:val="nil"/>
          <w:between w:val="nil"/>
        </w:pBdr>
        <w:spacing w:after="120"/>
        <w:jc w:val="both"/>
        <w:rPr>
          <w:color w:val="000000"/>
        </w:rPr>
      </w:pPr>
      <w:r>
        <w:rPr>
          <w:color w:val="000000"/>
        </w:rPr>
        <w:t>Enhanced</w:t>
      </w:r>
      <w:r w:rsidR="00652099">
        <w:rPr>
          <w:color w:val="000000"/>
        </w:rPr>
        <w:t xml:space="preserve"> tax</w:t>
      </w:r>
      <w:r>
        <w:rPr>
          <w:color w:val="000000"/>
        </w:rPr>
        <w:t xml:space="preserve"> credit for First Nations individuals and persons with disabilities</w:t>
      </w:r>
    </w:p>
    <w:p w14:paraId="04EBBDE2" w14:textId="094CCB08" w:rsidR="00F91B43" w:rsidRDefault="008267C3" w:rsidP="0020050B">
      <w:pPr>
        <w:pStyle w:val="Normal1"/>
        <w:pBdr>
          <w:top w:val="nil"/>
          <w:left w:val="nil"/>
          <w:bottom w:val="nil"/>
          <w:right w:val="nil"/>
          <w:between w:val="nil"/>
        </w:pBdr>
        <w:spacing w:after="240"/>
        <w:jc w:val="both"/>
        <w:rPr>
          <w:color w:val="000000"/>
        </w:rPr>
      </w:pPr>
      <w:r>
        <w:rPr>
          <w:color w:val="000000"/>
        </w:rPr>
        <w:t xml:space="preserve">Amounts employers and apprentices can claim vary according to the type of </w:t>
      </w:r>
      <w:r w:rsidR="00652099">
        <w:rPr>
          <w:color w:val="000000"/>
        </w:rPr>
        <w:t xml:space="preserve">tax </w:t>
      </w:r>
      <w:r>
        <w:rPr>
          <w:color w:val="000000"/>
        </w:rPr>
        <w:t>credit.</w:t>
      </w:r>
    </w:p>
    <w:p w14:paraId="62E03136" w14:textId="77777777" w:rsidR="00F91B43" w:rsidRDefault="008267C3" w:rsidP="009C5EE4">
      <w:pPr>
        <w:pStyle w:val="Normal1"/>
        <w:numPr>
          <w:ilvl w:val="0"/>
          <w:numId w:val="24"/>
        </w:numPr>
        <w:pBdr>
          <w:top w:val="nil"/>
          <w:left w:val="nil"/>
          <w:bottom w:val="nil"/>
          <w:right w:val="nil"/>
          <w:between w:val="nil"/>
        </w:pBdr>
        <w:spacing w:after="0"/>
        <w:ind w:left="425" w:hanging="425"/>
        <w:rPr>
          <w:b/>
          <w:i/>
          <w:color w:val="000000"/>
        </w:rPr>
      </w:pPr>
      <w:r>
        <w:rPr>
          <w:b/>
          <w:i/>
          <w:color w:val="000000"/>
        </w:rPr>
        <w:t>B.C. Employer Training Grant</w:t>
      </w:r>
    </w:p>
    <w:p w14:paraId="4DCCC19A" w14:textId="77777777" w:rsidR="00F91B43" w:rsidRDefault="008267C3" w:rsidP="005B7647">
      <w:pPr>
        <w:pStyle w:val="Normal1"/>
        <w:pBdr>
          <w:top w:val="nil"/>
          <w:left w:val="nil"/>
          <w:bottom w:val="nil"/>
          <w:right w:val="nil"/>
          <w:between w:val="nil"/>
        </w:pBdr>
        <w:spacing w:after="240"/>
        <w:jc w:val="both"/>
        <w:rPr>
          <w:color w:val="000000"/>
          <w:highlight w:val="white"/>
        </w:rPr>
      </w:pPr>
      <w:r>
        <w:rPr>
          <w:color w:val="000000"/>
          <w:highlight w:val="white"/>
        </w:rPr>
        <w:t>The Employer Training Grant replaces the Canada-B.C. Job Grant, and is funded through the negotiated Workforce Development Agreement. This program is designed to assist employers in providing skills training to new or current employees that will develop skills and certification, or upgrade skills needed due to automation and enhance productivity (British Columbia Government, 2018b).</w:t>
      </w:r>
    </w:p>
    <w:p w14:paraId="432C1ABF" w14:textId="77777777" w:rsidR="00F91B43" w:rsidRDefault="008267C3">
      <w:pPr>
        <w:pStyle w:val="Normal1"/>
        <w:pBdr>
          <w:top w:val="nil"/>
          <w:left w:val="nil"/>
          <w:bottom w:val="nil"/>
          <w:right w:val="nil"/>
          <w:between w:val="nil"/>
        </w:pBdr>
        <w:shd w:val="clear" w:color="auto" w:fill="FFFFFF"/>
        <w:spacing w:after="120"/>
        <w:jc w:val="both"/>
        <w:rPr>
          <w:color w:val="000000"/>
        </w:rPr>
      </w:pPr>
      <w:r>
        <w:rPr>
          <w:color w:val="000000"/>
        </w:rPr>
        <w:t>There are three streams under which employers can apply, based on skills training needs:</w:t>
      </w:r>
    </w:p>
    <w:p w14:paraId="0E0AD726" w14:textId="77777777" w:rsidR="00F91B43" w:rsidRDefault="008267C3" w:rsidP="005D4808">
      <w:pPr>
        <w:pStyle w:val="Normal1"/>
        <w:numPr>
          <w:ilvl w:val="0"/>
          <w:numId w:val="25"/>
        </w:numPr>
        <w:pBdr>
          <w:top w:val="nil"/>
          <w:left w:val="nil"/>
          <w:bottom w:val="nil"/>
          <w:right w:val="nil"/>
          <w:between w:val="nil"/>
        </w:pBdr>
        <w:spacing w:after="0"/>
        <w:contextualSpacing/>
        <w:jc w:val="both"/>
        <w:rPr>
          <w:color w:val="000000"/>
        </w:rPr>
      </w:pPr>
      <w:r>
        <w:rPr>
          <w:color w:val="000000"/>
        </w:rPr>
        <w:t>Foundational Training Stream - underemployed or unemployed</w:t>
      </w:r>
    </w:p>
    <w:p w14:paraId="50EC8467" w14:textId="77777777" w:rsidR="00F91B43" w:rsidRDefault="008267C3" w:rsidP="005D4808">
      <w:pPr>
        <w:pStyle w:val="Normal1"/>
        <w:numPr>
          <w:ilvl w:val="0"/>
          <w:numId w:val="25"/>
        </w:numPr>
        <w:pBdr>
          <w:top w:val="nil"/>
          <w:left w:val="nil"/>
          <w:bottom w:val="nil"/>
          <w:right w:val="nil"/>
          <w:between w:val="nil"/>
        </w:pBdr>
        <w:shd w:val="clear" w:color="auto" w:fill="FFFFFF"/>
        <w:spacing w:after="0"/>
        <w:contextualSpacing/>
        <w:jc w:val="both"/>
        <w:rPr>
          <w:color w:val="000000"/>
        </w:rPr>
      </w:pPr>
      <w:r>
        <w:rPr>
          <w:color w:val="000000"/>
        </w:rPr>
        <w:t>Technical Skills Training Stream - current employees technical skills for automation impact</w:t>
      </w:r>
    </w:p>
    <w:p w14:paraId="1CA034B8" w14:textId="77777777" w:rsidR="00F91B43" w:rsidRDefault="008267C3" w:rsidP="00397B8F">
      <w:pPr>
        <w:pStyle w:val="Normal1"/>
        <w:numPr>
          <w:ilvl w:val="0"/>
          <w:numId w:val="25"/>
        </w:numPr>
        <w:pBdr>
          <w:top w:val="nil"/>
          <w:left w:val="nil"/>
          <w:bottom w:val="nil"/>
          <w:right w:val="nil"/>
          <w:between w:val="nil"/>
        </w:pBdr>
        <w:spacing w:after="360"/>
        <w:ind w:left="714" w:hanging="357"/>
        <w:jc w:val="both"/>
        <w:rPr>
          <w:color w:val="000000"/>
        </w:rPr>
      </w:pPr>
      <w:r>
        <w:rPr>
          <w:color w:val="000000"/>
        </w:rPr>
        <w:t>Workforce Training Stream – current employees leadership, management, soft skills</w:t>
      </w:r>
    </w:p>
    <w:p w14:paraId="49132D64" w14:textId="77777777" w:rsidR="00F91B43" w:rsidRPr="00CE1F45" w:rsidRDefault="008267C3" w:rsidP="005D4808">
      <w:pPr>
        <w:pStyle w:val="Normal1"/>
        <w:pBdr>
          <w:top w:val="nil"/>
          <w:left w:val="nil"/>
          <w:bottom w:val="nil"/>
          <w:right w:val="nil"/>
          <w:between w:val="nil"/>
        </w:pBdr>
        <w:spacing w:after="0"/>
        <w:jc w:val="both"/>
        <w:rPr>
          <w:rStyle w:val="BookTitle"/>
          <w:b/>
          <w:i w:val="0"/>
          <w:sz w:val="26"/>
          <w:szCs w:val="26"/>
        </w:rPr>
      </w:pPr>
      <w:r w:rsidRPr="00CE1F45">
        <w:rPr>
          <w:rStyle w:val="BookTitle"/>
          <w:b/>
          <w:i w:val="0"/>
          <w:sz w:val="26"/>
          <w:szCs w:val="26"/>
        </w:rPr>
        <w:t>New Brunswick</w:t>
      </w:r>
    </w:p>
    <w:p w14:paraId="7FC13828" w14:textId="77777777" w:rsidR="00F91B43" w:rsidRDefault="008267C3" w:rsidP="0020050B">
      <w:pPr>
        <w:pStyle w:val="BodyText"/>
      </w:pPr>
      <w:r>
        <w:t>Like Ontario, New Brunswick has recently invested in WIL, and shares Ontario’s goal of offering a meaningful experiential learning activity to all post-secondary students.</w:t>
      </w:r>
    </w:p>
    <w:p w14:paraId="329446C6" w14:textId="77777777" w:rsidR="00F91B43" w:rsidRDefault="008267C3" w:rsidP="0020050B">
      <w:pPr>
        <w:pStyle w:val="BodyText"/>
      </w:pPr>
      <w:r>
        <w:t xml:space="preserve">In June 2018, the New Brunswick Government announced an allocation of $18.4 million for experiential learning over three years, targeted to initiatives at the high school and post-secondary level. </w:t>
      </w:r>
    </w:p>
    <w:p w14:paraId="7D6BF7A9" w14:textId="77777777" w:rsidR="00F91B43" w:rsidRDefault="008267C3" w:rsidP="0020050B">
      <w:pPr>
        <w:pStyle w:val="BodyText"/>
      </w:pPr>
      <w:r>
        <w:t xml:space="preserve">The funding includes $5 million per year, allocated amongst four universities, for a Student Experiential Learning Fund (SELF). The fund is aimed at reducing the barriers faced by students in accessing experiential learning opportunities, and will cover the costs of travel, living, and material support to students in any academic discipline. Students will be able to receive up to $10,000 per year through the fund (University of New Brunswick Student Union, 2018). </w:t>
      </w:r>
    </w:p>
    <w:p w14:paraId="32091784" w14:textId="77777777" w:rsidR="00F91B43" w:rsidRDefault="008267C3" w:rsidP="0020050B">
      <w:pPr>
        <w:pStyle w:val="BodyText"/>
      </w:pPr>
      <w:r>
        <w:t xml:space="preserve">A further $3.5 million over three years has been allocated to support experiential learning Director positions at the universities implementing SELF. Directors will provide fund management, as well as support a steering committee and establishment of a database to track experiential learning activities. The universities are required to contribute to the Directors’ salaries and to fully fund the positions after three years (J. Walchli, personal communication, August 21, 2018). </w:t>
      </w:r>
    </w:p>
    <w:p w14:paraId="21D7E604" w14:textId="77777777" w:rsidR="00F91B43" w:rsidRDefault="008267C3" w:rsidP="0020050B">
      <w:pPr>
        <w:pStyle w:val="BodyText"/>
        <w:rPr>
          <w:highlight w:val="white"/>
        </w:rPr>
      </w:pPr>
      <w:r>
        <w:rPr>
          <w:highlight w:val="white"/>
        </w:rPr>
        <w:t xml:space="preserve">Five million per year will also fund bursaries for mandatory work placements in areas including nursing, education, and nutrition, offsetting the financial burden for some students. An additional $3.4 million will fund innovative experiential education opportunities developed by liberal arts faculties, labour market evaluations and other programs (Government of New Brunswick, 2018a). </w:t>
      </w:r>
    </w:p>
    <w:p w14:paraId="729FF0BB" w14:textId="77777777" w:rsidR="00F91B43" w:rsidRDefault="008267C3" w:rsidP="00397B8F">
      <w:pPr>
        <w:pStyle w:val="BodyText"/>
        <w:spacing w:after="360"/>
      </w:pPr>
      <w:r>
        <w:t>One and a half million will also be targeted to creating experiential education opportunities for Indigenous university students over the next three years. Criteria for this funding is currently being developed in consultation with Indigenous groups (</w:t>
      </w:r>
      <w:r>
        <w:rPr>
          <w:highlight w:val="white"/>
        </w:rPr>
        <w:t>Government of New Brunswick, 2018b)</w:t>
      </w:r>
      <w:r>
        <w:t xml:space="preserve">. The task force involved in guiding the funding investment notes, in their final 2016 report, that facilitating the participation of underrepresented groups in experiential learning is an important component of their vision (Task Force on Experiential Education, 2016). </w:t>
      </w:r>
    </w:p>
    <w:p w14:paraId="7CE3287F" w14:textId="77777777" w:rsidR="00F91B43" w:rsidRPr="00CE1F45" w:rsidRDefault="008267C3" w:rsidP="005D4808">
      <w:pPr>
        <w:pStyle w:val="Normal1"/>
        <w:pBdr>
          <w:top w:val="nil"/>
          <w:left w:val="nil"/>
          <w:bottom w:val="nil"/>
          <w:right w:val="nil"/>
          <w:between w:val="nil"/>
        </w:pBdr>
        <w:spacing w:after="0"/>
        <w:jc w:val="both"/>
        <w:rPr>
          <w:rStyle w:val="BookTitle"/>
          <w:b/>
          <w:i w:val="0"/>
          <w:sz w:val="26"/>
          <w:szCs w:val="26"/>
        </w:rPr>
      </w:pPr>
      <w:r w:rsidRPr="00CE1F45">
        <w:rPr>
          <w:rStyle w:val="BookTitle"/>
          <w:b/>
          <w:i w:val="0"/>
          <w:sz w:val="26"/>
          <w:szCs w:val="26"/>
        </w:rPr>
        <w:t xml:space="preserve">Quebec  </w:t>
      </w:r>
    </w:p>
    <w:p w14:paraId="31958600" w14:textId="0C4E8B83" w:rsidR="00F91B43" w:rsidRDefault="008267C3" w:rsidP="003D70B9">
      <w:pPr>
        <w:pStyle w:val="Normal1"/>
        <w:pBdr>
          <w:top w:val="nil"/>
          <w:left w:val="nil"/>
          <w:bottom w:val="nil"/>
          <w:right w:val="nil"/>
          <w:between w:val="nil"/>
        </w:pBdr>
        <w:spacing w:after="240"/>
        <w:jc w:val="both"/>
        <w:rPr>
          <w:color w:val="000000"/>
        </w:rPr>
      </w:pPr>
      <w:r>
        <w:rPr>
          <w:color w:val="000000"/>
        </w:rPr>
        <w:t>Quebec offers two forms of refundable tax credits to employers who provide practicum work placements or offer training to student employees. Employers can receive between 24 to 40 percent of eligible exp</w:t>
      </w:r>
      <w:r w:rsidR="009C5EE4">
        <w:rPr>
          <w:color w:val="000000"/>
        </w:rPr>
        <w:t>enses (Concordia University, n.</w:t>
      </w:r>
      <w:r>
        <w:rPr>
          <w:color w:val="000000"/>
        </w:rPr>
        <w:t xml:space="preserve">d.). </w:t>
      </w:r>
    </w:p>
    <w:p w14:paraId="50427D33" w14:textId="77777777" w:rsidR="00F91B43" w:rsidRDefault="008267C3" w:rsidP="005D4808">
      <w:pPr>
        <w:pStyle w:val="Normal1"/>
        <w:numPr>
          <w:ilvl w:val="0"/>
          <w:numId w:val="26"/>
        </w:numPr>
        <w:pBdr>
          <w:top w:val="nil"/>
          <w:left w:val="nil"/>
          <w:bottom w:val="nil"/>
          <w:right w:val="nil"/>
          <w:between w:val="nil"/>
        </w:pBdr>
        <w:spacing w:after="0"/>
        <w:ind w:left="425" w:hanging="425"/>
        <w:jc w:val="both"/>
        <w:rPr>
          <w:b/>
          <w:i/>
          <w:color w:val="000000"/>
        </w:rPr>
      </w:pPr>
      <w:r>
        <w:rPr>
          <w:b/>
          <w:i/>
          <w:color w:val="000000"/>
        </w:rPr>
        <w:t>Tax Credits for Practicums in the Workplace</w:t>
      </w:r>
    </w:p>
    <w:p w14:paraId="21C9E725" w14:textId="77777777" w:rsidR="00F91B43" w:rsidRDefault="008267C3" w:rsidP="0020050B">
      <w:pPr>
        <w:pStyle w:val="BodyText"/>
      </w:pPr>
      <w:r>
        <w:t xml:space="preserve">Introduced in 1994, the Tax Credits for Practicums in the Workplace program provides assistance to employers who provide work placements for a range of accredited adult, youth, apprentice and co-op learning programs, with special assistance also offered to employers hiring immigrants and individuals with disabilities. </w:t>
      </w:r>
    </w:p>
    <w:p w14:paraId="59B53335" w14:textId="7C43695B" w:rsidR="00F91B43" w:rsidRDefault="008267C3" w:rsidP="0020050B">
      <w:pPr>
        <w:pStyle w:val="BodyText"/>
        <w:rPr>
          <w:highlight w:val="white"/>
        </w:rPr>
      </w:pPr>
      <w:r>
        <w:rPr>
          <w:highlight w:val="white"/>
        </w:rPr>
        <w:t>Companies operating a business in Quebec are eligible to receive</w:t>
      </w:r>
      <w:r w:rsidR="004756CA">
        <w:rPr>
          <w:highlight w:val="white"/>
        </w:rPr>
        <w:t xml:space="preserve"> a refundable tax credit for 30 percent</w:t>
      </w:r>
      <w:r>
        <w:rPr>
          <w:highlight w:val="white"/>
        </w:rPr>
        <w:t xml:space="preserve"> of eligible expenses up to a maximum of $180 per week, per placement. Individuals operating a business are</w:t>
      </w:r>
      <w:r w:rsidR="004756CA">
        <w:rPr>
          <w:highlight w:val="white"/>
        </w:rPr>
        <w:t xml:space="preserve"> also eligible and may claim 15 percent</w:t>
      </w:r>
      <w:r>
        <w:rPr>
          <w:highlight w:val="white"/>
        </w:rPr>
        <w:t xml:space="preserve"> of eligible expenses up to a maximum of $90 per week, per placement. A unique feature of Quebec’s program is that supervisors may claim wages of up to $30 per hour to a maximum of ten hours per week as eligible expenses</w:t>
      </w:r>
      <w:r>
        <w:t xml:space="preserve"> in addition to co-op student wages</w:t>
      </w:r>
      <w:r>
        <w:rPr>
          <w:highlight w:val="white"/>
        </w:rPr>
        <w:t xml:space="preserve">. </w:t>
      </w:r>
    </w:p>
    <w:p w14:paraId="34DD6D59" w14:textId="76018773" w:rsidR="006826C9" w:rsidRDefault="008267C3" w:rsidP="0020050B">
      <w:pPr>
        <w:pStyle w:val="BodyText"/>
        <w:rPr>
          <w:highlight w:val="white"/>
        </w:rPr>
      </w:pPr>
      <w:r>
        <w:rPr>
          <w:highlight w:val="white"/>
        </w:rPr>
        <w:t>Students must be enrolled at a recognized post-secondary institution in Quebec</w:t>
      </w:r>
      <w:r w:rsidR="006826C9">
        <w:rPr>
          <w:highlight w:val="white"/>
        </w:rPr>
        <w:t>,</w:t>
      </w:r>
      <w:r>
        <w:rPr>
          <w:highlight w:val="white"/>
        </w:rPr>
        <w:t xml:space="preserve"> or </w:t>
      </w:r>
      <w:r w:rsidR="006826C9">
        <w:rPr>
          <w:highlight w:val="white"/>
        </w:rPr>
        <w:t>be attending a post-secondary institution outside Quebec, but complete a practicum at a company located in Quebe</w:t>
      </w:r>
      <w:r w:rsidR="00202AA3">
        <w:rPr>
          <w:highlight w:val="white"/>
        </w:rPr>
        <w:t xml:space="preserve">c (Ministère de l’Éducation, du Loisir et du Sport, 2010). </w:t>
      </w:r>
    </w:p>
    <w:p w14:paraId="4C753FD4" w14:textId="77777777" w:rsidR="00F91B43" w:rsidRDefault="008267C3" w:rsidP="005D4808">
      <w:pPr>
        <w:pStyle w:val="Normal1"/>
        <w:numPr>
          <w:ilvl w:val="0"/>
          <w:numId w:val="26"/>
        </w:numPr>
        <w:pBdr>
          <w:top w:val="nil"/>
          <w:left w:val="nil"/>
          <w:bottom w:val="nil"/>
          <w:right w:val="nil"/>
          <w:between w:val="nil"/>
        </w:pBdr>
        <w:spacing w:after="0"/>
        <w:ind w:left="425" w:hanging="425"/>
        <w:jc w:val="both"/>
        <w:rPr>
          <w:b/>
          <w:i/>
          <w:color w:val="000000"/>
        </w:rPr>
      </w:pPr>
      <w:r>
        <w:rPr>
          <w:b/>
          <w:i/>
          <w:color w:val="000000"/>
        </w:rPr>
        <w:t>Tax Credit for an On-The-Job Training Period</w:t>
      </w:r>
    </w:p>
    <w:p w14:paraId="491E7E55" w14:textId="1517DC20" w:rsidR="00F91B43" w:rsidRDefault="008267C3" w:rsidP="00397B8F">
      <w:pPr>
        <w:pStyle w:val="Normal1"/>
        <w:pBdr>
          <w:top w:val="nil"/>
          <w:left w:val="nil"/>
          <w:bottom w:val="nil"/>
          <w:right w:val="nil"/>
          <w:between w:val="nil"/>
        </w:pBdr>
        <w:spacing w:after="360"/>
        <w:jc w:val="both"/>
        <w:rPr>
          <w:color w:val="000000"/>
        </w:rPr>
      </w:pPr>
      <w:r>
        <w:rPr>
          <w:color w:val="000000"/>
        </w:rPr>
        <w:t>Individual business owners or members of a partnership who incur expenditures with respect to a student undertaking an on-the-job training placement totalling at least 140 hours are eligible to re</w:t>
      </w:r>
      <w:r w:rsidR="004756CA">
        <w:rPr>
          <w:color w:val="000000"/>
        </w:rPr>
        <w:t>ceive a tax credit for up to 32 percent</w:t>
      </w:r>
      <w:r>
        <w:rPr>
          <w:color w:val="000000"/>
        </w:rPr>
        <w:t xml:space="preserve"> of eligible expenses. The organization must operate in Quebec and the student must be registered as full-time at a recognized educational institution (</w:t>
      </w:r>
      <w:r>
        <w:t>Revenu Quebec, Government of Quebec, 2018</w:t>
      </w:r>
      <w:r>
        <w:rPr>
          <w:color w:val="000000"/>
        </w:rPr>
        <w:t xml:space="preserve">). </w:t>
      </w:r>
    </w:p>
    <w:p w14:paraId="31E1664F" w14:textId="77777777" w:rsidR="00F91B43" w:rsidRPr="00CE1F45" w:rsidRDefault="008267C3" w:rsidP="005D4808">
      <w:pPr>
        <w:pStyle w:val="Normal1"/>
        <w:pBdr>
          <w:top w:val="nil"/>
          <w:left w:val="nil"/>
          <w:bottom w:val="nil"/>
          <w:right w:val="nil"/>
          <w:between w:val="nil"/>
        </w:pBdr>
        <w:spacing w:after="0"/>
        <w:jc w:val="both"/>
        <w:rPr>
          <w:rStyle w:val="BookTitle"/>
          <w:b/>
          <w:i w:val="0"/>
          <w:sz w:val="26"/>
          <w:szCs w:val="26"/>
        </w:rPr>
      </w:pPr>
      <w:r w:rsidRPr="00CE1F45">
        <w:rPr>
          <w:rStyle w:val="BookTitle"/>
          <w:b/>
          <w:i w:val="0"/>
          <w:sz w:val="26"/>
          <w:szCs w:val="26"/>
        </w:rPr>
        <w:t xml:space="preserve">Manitoba </w:t>
      </w:r>
    </w:p>
    <w:p w14:paraId="2F1EBFF7" w14:textId="77777777" w:rsidR="00F91B43" w:rsidRDefault="008267C3" w:rsidP="003D70B9">
      <w:pPr>
        <w:pStyle w:val="Normal1"/>
        <w:pBdr>
          <w:top w:val="nil"/>
          <w:left w:val="nil"/>
          <w:bottom w:val="nil"/>
          <w:right w:val="nil"/>
          <w:between w:val="nil"/>
        </w:pBdr>
        <w:spacing w:after="240"/>
        <w:jc w:val="both"/>
        <w:rPr>
          <w:color w:val="000000"/>
        </w:rPr>
      </w:pPr>
      <w:r>
        <w:rPr>
          <w:color w:val="000000"/>
        </w:rPr>
        <w:t xml:space="preserve">Manitoba offers one form of refundable tax credit to support WIL, providing employers with a 15 percent credit for student wages.  </w:t>
      </w:r>
    </w:p>
    <w:p w14:paraId="49B72359" w14:textId="77777777" w:rsidR="00F91B43" w:rsidRDefault="008267C3" w:rsidP="005D4808">
      <w:pPr>
        <w:pStyle w:val="Normal1"/>
        <w:numPr>
          <w:ilvl w:val="0"/>
          <w:numId w:val="26"/>
        </w:numPr>
        <w:pBdr>
          <w:top w:val="nil"/>
          <w:left w:val="nil"/>
          <w:bottom w:val="nil"/>
          <w:right w:val="nil"/>
          <w:between w:val="nil"/>
        </w:pBdr>
        <w:spacing w:after="0"/>
        <w:ind w:left="426" w:hanging="426"/>
        <w:jc w:val="both"/>
        <w:rPr>
          <w:b/>
          <w:i/>
          <w:color w:val="000000"/>
        </w:rPr>
      </w:pPr>
      <w:r>
        <w:rPr>
          <w:b/>
          <w:i/>
          <w:color w:val="000000"/>
        </w:rPr>
        <w:t>Paid Work Experience Tax Credit (PWETC)</w:t>
      </w:r>
    </w:p>
    <w:p w14:paraId="11D3E527" w14:textId="258F17FD" w:rsidR="00F91B43" w:rsidRDefault="008267C3" w:rsidP="0020050B">
      <w:pPr>
        <w:pStyle w:val="BodyText"/>
      </w:pPr>
      <w:r>
        <w:t xml:space="preserve">The government of Manitoba implemented a Co-operative Education Tax Credit scheme in 2003 that provided eligible employers with a 10 percent refundable tax credit for co-operative student wages up to a maximum of $1,000 per co-op placement (Manitoba Government, n.d.). In 2015, the government expanded this scheme as well as other forms of hiring incentives (such as for apprenticeships) and encompassed all schemes under a new ‘Paid Work Experience Tax Credit’ (PWETC). </w:t>
      </w:r>
    </w:p>
    <w:p w14:paraId="090AB827" w14:textId="77777777" w:rsidR="00F91B43" w:rsidRDefault="008267C3" w:rsidP="0020050B">
      <w:pPr>
        <w:pStyle w:val="BodyText"/>
      </w:pPr>
      <w:r>
        <w:t>The PWETC provides eligible employers with a 15 percent refundable tax credit for co-operative student wages up to a lifetime maximum of $5,000 per student. Eligible employers who hire post-secondary co-operative graduates can also claim 15 percent of wages up to a maximum of $2,500 per graduate per year for the first two years of employment after graduation.</w:t>
      </w:r>
    </w:p>
    <w:p w14:paraId="7B475F5F" w14:textId="77777777" w:rsidR="00F91B43" w:rsidRDefault="008267C3" w:rsidP="0020050B">
      <w:pPr>
        <w:pStyle w:val="BodyText"/>
      </w:pPr>
      <w:r>
        <w:t>Eligible employers include taxable corporations and exempt corporate entities (such as not-for-profit agencies, Manitoba Crown entities, municipalities, universities, schools, and hospitals). Crown corporations and other provincial government entities are not eligible.</w:t>
      </w:r>
    </w:p>
    <w:p w14:paraId="7C22A9FB" w14:textId="77777777" w:rsidR="00F91B43" w:rsidRDefault="008267C3" w:rsidP="00397B8F">
      <w:pPr>
        <w:pStyle w:val="BodyText"/>
        <w:spacing w:after="360"/>
      </w:pPr>
      <w:r>
        <w:t>Students must be enrolled in a co-operative education program registered with Manitoba Education and Advanced Learning, must be employed on a full-time basis (at least 35 hours per week), and the work must be performed primarily in Manitoba (Canada Revenue Agency, 2018b; Entrepreneurship Manitoba, 2017).</w:t>
      </w:r>
    </w:p>
    <w:p w14:paraId="58E006BB" w14:textId="77777777" w:rsidR="00F91B43" w:rsidRPr="00CE1F45" w:rsidRDefault="008267C3" w:rsidP="005D4808">
      <w:pPr>
        <w:pStyle w:val="Normal1"/>
        <w:pBdr>
          <w:top w:val="nil"/>
          <w:left w:val="nil"/>
          <w:bottom w:val="nil"/>
          <w:right w:val="nil"/>
          <w:between w:val="nil"/>
        </w:pBdr>
        <w:spacing w:after="0"/>
        <w:jc w:val="both"/>
        <w:rPr>
          <w:rStyle w:val="BookTitle"/>
          <w:b/>
          <w:i w:val="0"/>
          <w:sz w:val="26"/>
          <w:szCs w:val="26"/>
        </w:rPr>
      </w:pPr>
      <w:r w:rsidRPr="00CE1F45">
        <w:rPr>
          <w:rStyle w:val="BookTitle"/>
          <w:b/>
          <w:i w:val="0"/>
          <w:sz w:val="26"/>
          <w:szCs w:val="26"/>
        </w:rPr>
        <w:t xml:space="preserve">Newfoundland &amp; Labrador </w:t>
      </w:r>
    </w:p>
    <w:p w14:paraId="256F1A36" w14:textId="77777777" w:rsidR="00F91B43" w:rsidRDefault="008267C3" w:rsidP="0020050B">
      <w:pPr>
        <w:pStyle w:val="Normal1"/>
        <w:pBdr>
          <w:top w:val="nil"/>
          <w:left w:val="nil"/>
          <w:bottom w:val="nil"/>
          <w:right w:val="nil"/>
          <w:between w:val="nil"/>
        </w:pBdr>
        <w:spacing w:after="240"/>
        <w:jc w:val="both"/>
        <w:rPr>
          <w:color w:val="000000"/>
        </w:rPr>
      </w:pPr>
      <w:r>
        <w:rPr>
          <w:color w:val="000000"/>
        </w:rPr>
        <w:t xml:space="preserve">Newfoundland &amp; Labrador offer two wage subsidies to support WIL, one targeted to small businesses and the other to support organizations outside of the private sector. </w:t>
      </w:r>
    </w:p>
    <w:p w14:paraId="324D6122" w14:textId="77777777" w:rsidR="00F91B43" w:rsidRDefault="008267C3" w:rsidP="005D4808">
      <w:pPr>
        <w:pStyle w:val="Normal1"/>
        <w:numPr>
          <w:ilvl w:val="0"/>
          <w:numId w:val="26"/>
        </w:numPr>
        <w:pBdr>
          <w:top w:val="nil"/>
          <w:left w:val="nil"/>
          <w:bottom w:val="nil"/>
          <w:right w:val="nil"/>
          <w:between w:val="nil"/>
        </w:pBdr>
        <w:spacing w:after="0"/>
        <w:ind w:left="425" w:hanging="425"/>
        <w:jc w:val="both"/>
        <w:rPr>
          <w:b/>
          <w:i/>
          <w:color w:val="000000"/>
        </w:rPr>
      </w:pPr>
      <w:r>
        <w:rPr>
          <w:b/>
          <w:i/>
          <w:color w:val="000000"/>
        </w:rPr>
        <w:t>Small Enterprise Co-op Placement Assistance Program (SECPAP)</w:t>
      </w:r>
    </w:p>
    <w:p w14:paraId="5D94352F" w14:textId="77777777" w:rsidR="00F91B43" w:rsidRDefault="008267C3" w:rsidP="0020050B">
      <w:pPr>
        <w:pStyle w:val="Normal1"/>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Pr>
          <w:color w:val="000000"/>
        </w:rPr>
        <w:t>SECPAP was established in 1994 to encourage small businesses to participate in co-op hiring. The program provides a direct wage subsidy for 50 percent of a co-op student's wage to a maximum of $6 per hour. Businesses must employ less than 50 people and have less than $5 million in sales. Students enrolled in co-op programs at the Memorial University of Newfoundland and College of the North Atlantic are eligible (</w:t>
      </w:r>
      <w:r>
        <w:t>Department of Advanced Education, Skills and Labour, Government of Newfoundland and Labrador, 2018</w:t>
      </w:r>
      <w:r>
        <w:rPr>
          <w:color w:val="000000"/>
        </w:rPr>
        <w:t xml:space="preserve">; College of the North Atlantic, 2012). </w:t>
      </w:r>
    </w:p>
    <w:p w14:paraId="262EEBDF" w14:textId="77777777" w:rsidR="009C5EE4" w:rsidRDefault="009C5EE4" w:rsidP="0020050B">
      <w:pPr>
        <w:pStyle w:val="Normal1"/>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p>
    <w:p w14:paraId="19C93221" w14:textId="575ACE53" w:rsidR="00F91B43" w:rsidRDefault="008267C3" w:rsidP="004077DD">
      <w:pPr>
        <w:pStyle w:val="Normal1"/>
        <w:widowControl w:val="0"/>
        <w:numPr>
          <w:ilvl w:val="0"/>
          <w:numId w:val="26"/>
        </w:numPr>
        <w:pBdr>
          <w:top w:val="nil"/>
          <w:left w:val="nil"/>
          <w:bottom w:val="nil"/>
          <w:right w:val="nil"/>
          <w:between w:val="nil"/>
        </w:pBd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425" w:hanging="425"/>
        <w:jc w:val="both"/>
        <w:rPr>
          <w:b/>
          <w:i/>
          <w:color w:val="000000"/>
        </w:rPr>
      </w:pPr>
      <w:bookmarkStart w:id="13" w:name="_35nkun2" w:colFirst="0" w:colLast="0"/>
      <w:bookmarkEnd w:id="13"/>
      <w:r>
        <w:rPr>
          <w:b/>
          <w:i/>
          <w:color w:val="000000"/>
        </w:rPr>
        <w:t>Advancing Non-profit and Voluntary Investments in Learning (ANVIL)</w:t>
      </w:r>
    </w:p>
    <w:p w14:paraId="5694DE99" w14:textId="77777777" w:rsidR="00F91B43" w:rsidRDefault="008267C3">
      <w:pPr>
        <w:pStyle w:val="Normal1"/>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360"/>
        <w:jc w:val="both"/>
        <w:rPr>
          <w:color w:val="000000"/>
        </w:rPr>
      </w:pPr>
      <w:r>
        <w:rPr>
          <w:color w:val="000000"/>
        </w:rPr>
        <w:t xml:space="preserve">Part of Newfoundland's Youth Retention and Attraction Strategy, ANVIL was implemented in November 2009 to help non-profit organizations, municipalities and professional associations hire co-op students. The program aimed to introduce approximately 40-50 internship opportunities in three years between 2010-2013 for post-secondary students in the non-profit sector. The program provides a direct wage subsidy for 67 percent of the student's hourly wage to a maximum of $8 per hour (Government of Newfoundland and Labrador, 2009, 2010).  </w:t>
      </w:r>
    </w:p>
    <w:p w14:paraId="282C7FC8" w14:textId="77777777" w:rsidR="00F91B43" w:rsidRPr="00A74CDC" w:rsidRDefault="008267C3" w:rsidP="006903C2">
      <w:pPr>
        <w:pStyle w:val="Normal1"/>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Style w:val="BookTitle"/>
          <w:b/>
          <w:i w:val="0"/>
          <w:sz w:val="26"/>
          <w:szCs w:val="26"/>
        </w:rPr>
      </w:pPr>
      <w:r w:rsidRPr="00A74CDC">
        <w:rPr>
          <w:rStyle w:val="BookTitle"/>
          <w:b/>
          <w:i w:val="0"/>
          <w:sz w:val="26"/>
          <w:szCs w:val="26"/>
        </w:rPr>
        <w:t xml:space="preserve">Nova Scotia </w:t>
      </w:r>
    </w:p>
    <w:p w14:paraId="4E2EDA39" w14:textId="77777777" w:rsidR="00F91B43" w:rsidRDefault="008267C3" w:rsidP="003D70B9">
      <w:pPr>
        <w:pStyle w:val="Normal1"/>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Pr>
          <w:color w:val="000000"/>
        </w:rPr>
        <w:t xml:space="preserve">Nova Scotia offers one wage subsidy for WIL, available to employers across the public, private and non-profit sectors. </w:t>
      </w:r>
    </w:p>
    <w:p w14:paraId="767689E1" w14:textId="77777777" w:rsidR="00F91B43" w:rsidRDefault="008267C3" w:rsidP="006903C2">
      <w:pPr>
        <w:pStyle w:val="Normal1"/>
        <w:numPr>
          <w:ilvl w:val="0"/>
          <w:numId w:val="26"/>
        </w:numPr>
        <w:pBdr>
          <w:top w:val="nil"/>
          <w:left w:val="nil"/>
          <w:bottom w:val="nil"/>
          <w:right w:val="nil"/>
          <w:between w:val="nil"/>
        </w:pBdr>
        <w:spacing w:after="0"/>
        <w:ind w:left="426" w:hanging="426"/>
        <w:jc w:val="both"/>
        <w:rPr>
          <w:b/>
          <w:i/>
          <w:color w:val="000000"/>
        </w:rPr>
      </w:pPr>
      <w:r>
        <w:rPr>
          <w:b/>
          <w:i/>
          <w:color w:val="000000"/>
        </w:rPr>
        <w:t>The Co-operative Education Incentive</w:t>
      </w:r>
    </w:p>
    <w:p w14:paraId="3C948063" w14:textId="77777777" w:rsidR="00F91B43" w:rsidRDefault="008267C3" w:rsidP="0020050B">
      <w:pPr>
        <w:pStyle w:val="BodyText"/>
      </w:pPr>
      <w:r>
        <w:t xml:space="preserve">Eligible private sector, government-funded and non-profit employers in Nova Scotia can receive a subsidy of $7.50 per hour for each hour worked by a co-operative student. The subsidy is paid as a reimbursement to the employer at the end of the work term. </w:t>
      </w:r>
    </w:p>
    <w:p w14:paraId="280E355A" w14:textId="77777777" w:rsidR="00F91B43" w:rsidRDefault="008267C3" w:rsidP="0020050B">
      <w:pPr>
        <w:pStyle w:val="BodyText"/>
      </w:pPr>
      <w:r>
        <w:t>To be eligible, employers must pay a minimum of $15 per hour plus 4 percent vacation pay. The funding is offered for a period of 12-16 weeks of consecutive full-time employment, which is between 32.5 hours and 40 hours per week. Some 32-week placements will be funded if the work term is a mandatory 32 weeks. Students must be enrolled in a co-operative education program at a Nova Scotia university or college.</w:t>
      </w:r>
    </w:p>
    <w:p w14:paraId="534FC786" w14:textId="66EDC832" w:rsidR="00F91B43" w:rsidRDefault="008267C3" w:rsidP="0020050B">
      <w:pPr>
        <w:pStyle w:val="BodyText"/>
        <w:spacing w:after="600"/>
      </w:pPr>
      <w:r>
        <w:t>Private companies that receive funding from the Industrial Research Assistance Program (IRAP), or the Scientific Research &amp; Experimental Development (SR&amp;ED) tax credit are eligible to receive 50 percent of the hourly wage to a maximum of $10 per hour (Nova Scotia Government, 2018a, 2018b).</w:t>
      </w:r>
    </w:p>
    <w:p w14:paraId="36A649A1" w14:textId="77777777" w:rsidR="00F91B43" w:rsidRPr="008B5632" w:rsidRDefault="008267C3" w:rsidP="006A688E">
      <w:pPr>
        <w:pStyle w:val="HeadingE1"/>
        <w:spacing w:after="240"/>
      </w:pPr>
      <w:bookmarkStart w:id="14" w:name="_Toc403133204"/>
      <w:r w:rsidRPr="005B7647">
        <w:t>Canadian</w:t>
      </w:r>
      <w:r w:rsidRPr="008B5632">
        <w:t xml:space="preserve"> promising practices</w:t>
      </w:r>
      <w:bookmarkEnd w:id="14"/>
    </w:p>
    <w:p w14:paraId="2463792F" w14:textId="77777777" w:rsidR="00F91B43" w:rsidRPr="006A688E" w:rsidRDefault="008267C3" w:rsidP="005B7647">
      <w:pPr>
        <w:pStyle w:val="HeadingE3"/>
        <w:spacing w:after="240"/>
      </w:pPr>
      <w:r w:rsidRPr="006A688E">
        <w:t xml:space="preserve">Practices supporting employment success for students with disabilities </w:t>
      </w:r>
    </w:p>
    <w:p w14:paraId="0360F0AF" w14:textId="77777777" w:rsidR="009613E6" w:rsidRPr="006A688E" w:rsidRDefault="009613E6" w:rsidP="005B7647">
      <w:pPr>
        <w:pStyle w:val="HeadingE4"/>
        <w:spacing w:before="0"/>
        <w:rPr>
          <w:highlight w:val="white"/>
        </w:rPr>
      </w:pPr>
      <w:r w:rsidRPr="006A688E">
        <w:t>David C. Onley Initiative for Employment and Enterprise Development, Ottawa, ON</w:t>
      </w:r>
    </w:p>
    <w:p w14:paraId="38FE0B71" w14:textId="77777777" w:rsidR="009613E6" w:rsidRDefault="009613E6" w:rsidP="005B7647">
      <w:pPr>
        <w:pStyle w:val="BodyText"/>
      </w:pPr>
      <w:r>
        <w:rPr>
          <w:highlight w:val="white"/>
        </w:rPr>
        <w:t xml:space="preserve">Established in 2018, the </w:t>
      </w:r>
      <w:r>
        <w:t>David C. Onley Initiative for Employment and Enterprise Development</w:t>
      </w:r>
      <w:r>
        <w:rPr>
          <w:highlight w:val="white"/>
        </w:rPr>
        <w:t xml:space="preserve"> is a two-year project led by Carleton University that aims to increase the employment rates of students and graduates with disabilities. The project acknowledges that one of the main challenges </w:t>
      </w:r>
      <w:r>
        <w:t xml:space="preserve">graduates with disabilities face in gaining employment is a lack of work experience from their time as students. The project aims to increase students’ competitiveness in the labour market, and support an attitudinal shift in employers. </w:t>
      </w:r>
    </w:p>
    <w:p w14:paraId="0509CBCA" w14:textId="77777777" w:rsidR="009613E6" w:rsidRDefault="009613E6" w:rsidP="005B7647">
      <w:pPr>
        <w:pStyle w:val="BodyText"/>
      </w:pPr>
      <w:r>
        <w:rPr>
          <w:highlight w:val="white"/>
        </w:rPr>
        <w:t xml:space="preserve">The project received $5 million in funding from </w:t>
      </w:r>
      <w:r>
        <w:t>Ontario’s Ministry of Training, Colleges and Universities, and will be conducted in partnership with the University of Ottawa, Algonquin College, and La Cité Collégiale. Intended as a demonstrational project, there are plans to replicate it across the province once it is fully operational.</w:t>
      </w:r>
    </w:p>
    <w:p w14:paraId="63DBC0C6" w14:textId="2542E84A" w:rsidR="009613E6" w:rsidRDefault="009613E6" w:rsidP="005B7647">
      <w:pPr>
        <w:pStyle w:val="BodyText"/>
      </w:pPr>
      <w:r>
        <w:t xml:space="preserve">The project will establish 10 research and development officer positions across the four participating institutions to conduct applied research and program development, within existing post-secondary services, and through collaboration with industry sectors. </w:t>
      </w:r>
      <w:r w:rsidR="00747112">
        <w:t xml:space="preserve">The creation of </w:t>
      </w:r>
      <w:r>
        <w:t xml:space="preserve">a network of employers, agencies, and the government is </w:t>
      </w:r>
      <w:r w:rsidR="00747112">
        <w:t xml:space="preserve">seen </w:t>
      </w:r>
      <w:r>
        <w:t>as critical to addressing the barriers people with disabili</w:t>
      </w:r>
      <w:r w:rsidR="00A74CDC">
        <w:t>ties face</w:t>
      </w:r>
      <w:r w:rsidR="00747112">
        <w:t xml:space="preserve"> in the job market, and working with relevant community partners will be a key focus of the initiative </w:t>
      </w:r>
      <w:r>
        <w:t>(</w:t>
      </w:r>
      <w:r>
        <w:rPr>
          <w:highlight w:val="white"/>
        </w:rPr>
        <w:t>Haldenby, 2018; Phul, 2018)</w:t>
      </w:r>
      <w:r>
        <w:t>.</w:t>
      </w:r>
    </w:p>
    <w:p w14:paraId="6983E123" w14:textId="34AB2A9E" w:rsidR="009613E6" w:rsidRPr="009613E6" w:rsidRDefault="009613E6" w:rsidP="005B7647">
      <w:pPr>
        <w:pStyle w:val="BodyText"/>
        <w:spacing w:after="360"/>
        <w:rPr>
          <w:rStyle w:val="BookTitle"/>
          <w:b/>
          <w:bCs w:val="0"/>
          <w:smallCaps/>
          <w:color w:val="000000"/>
          <w:spacing w:val="0"/>
        </w:rPr>
      </w:pPr>
      <w:r>
        <w:rPr>
          <w:color w:val="000000"/>
        </w:rPr>
        <w:t>The project will assist students with disabilities through support and mentorship for entrepreneurial development; employment support, including connecting student</w:t>
      </w:r>
      <w:r w:rsidR="00747112">
        <w:rPr>
          <w:color w:val="000000"/>
        </w:rPr>
        <w:t>s</w:t>
      </w:r>
      <w:r w:rsidR="00147CD5">
        <w:rPr>
          <w:color w:val="000000"/>
        </w:rPr>
        <w:t xml:space="preserve"> to employers;</w:t>
      </w:r>
      <w:r>
        <w:rPr>
          <w:color w:val="000000"/>
        </w:rPr>
        <w:t xml:space="preserve"> and one-on-one coaching and mentoring for students. At Carlton University, accessibility support for students is provided by the Paul Menton Centre, which coordinates academic accommodations and support services for around 3,000 students with disabilities (Murphy, 2018).</w:t>
      </w:r>
    </w:p>
    <w:p w14:paraId="4D511771" w14:textId="77777777" w:rsidR="00F91B43" w:rsidRPr="006A688E" w:rsidRDefault="008267C3" w:rsidP="005B7647">
      <w:pPr>
        <w:spacing w:after="240"/>
        <w:rPr>
          <w:b/>
          <w:sz w:val="24"/>
          <w:szCs w:val="24"/>
        </w:rPr>
      </w:pPr>
      <w:r w:rsidRPr="006A688E">
        <w:rPr>
          <w:b/>
          <w:sz w:val="24"/>
          <w:szCs w:val="24"/>
        </w:rPr>
        <w:t>Practices supporting Indigenous student participation in WIL</w:t>
      </w:r>
    </w:p>
    <w:p w14:paraId="27AE6C30" w14:textId="77777777" w:rsidR="00117308" w:rsidRPr="000A6A7D" w:rsidRDefault="00117308" w:rsidP="005B7647">
      <w:pPr>
        <w:pStyle w:val="HeadingE4"/>
        <w:spacing w:before="0"/>
      </w:pPr>
      <w:r>
        <w:t>Construction Craft Worker Aboriginal Programs, Penticton, BC</w:t>
      </w:r>
    </w:p>
    <w:p w14:paraId="69792302" w14:textId="77777777" w:rsidR="00117308" w:rsidRDefault="00117308" w:rsidP="005B7647">
      <w:pPr>
        <w:pStyle w:val="BodyText"/>
      </w:pPr>
      <w:r>
        <w:t xml:space="preserve">In 2015, Okanagan College launched a two-year Red Seal Construction Craft Worker apprenticeship program. Following its launch, the college worked with the province to develop a pilot intake customized for Indigenous students offering cultural, financial and academic support alongside the apprenticeship training. The college developed the program in alignment with the Indigenous focus of its strategic plan, collaborating with local bands and Indigenous students to identify the kind of added support that would enable student success. </w:t>
      </w:r>
    </w:p>
    <w:p w14:paraId="4385BB8A" w14:textId="2B779121" w:rsidR="00117308" w:rsidRPr="00117308" w:rsidRDefault="00117308" w:rsidP="005B7647">
      <w:pPr>
        <w:pStyle w:val="BodyText"/>
        <w:rPr>
          <w:rFonts w:asciiTheme="majorHAnsi" w:hAnsiTheme="majorHAnsi"/>
        </w:rPr>
      </w:pPr>
      <w:r w:rsidRPr="00E852B4">
        <w:rPr>
          <w:rFonts w:asciiTheme="majorHAnsi" w:hAnsiTheme="majorHAnsi"/>
        </w:rPr>
        <w:t xml:space="preserve">Work BC’s Employment Services and Supports program provided primary funding for the program, and the college partnered with several other agencies to gain further support. </w:t>
      </w:r>
      <w:r w:rsidRPr="00E852B4">
        <w:rPr>
          <w:rFonts w:asciiTheme="majorHAnsi" w:eastAsia="Times New Roman" w:hAnsiTheme="majorHAnsi" w:cs="Arial"/>
          <w:shd w:val="clear" w:color="auto" w:fill="FFFFFF"/>
        </w:rPr>
        <w:t>The Aboriginal Community Based Training Partnerships (ACBTP) Program provided tuition and books, tools, lunches, safety gear</w:t>
      </w:r>
      <w:r w:rsidR="00084054">
        <w:rPr>
          <w:rFonts w:asciiTheme="majorHAnsi" w:eastAsia="Times New Roman" w:hAnsiTheme="majorHAnsi" w:cs="Arial"/>
          <w:shd w:val="clear" w:color="auto" w:fill="FFFFFF"/>
        </w:rPr>
        <w:t>,</w:t>
      </w:r>
      <w:r w:rsidRPr="00E852B4">
        <w:rPr>
          <w:rFonts w:asciiTheme="majorHAnsi" w:eastAsia="Times New Roman" w:hAnsiTheme="majorHAnsi" w:cs="Arial"/>
          <w:shd w:val="clear" w:color="auto" w:fill="FFFFFF"/>
        </w:rPr>
        <w:t xml:space="preserve"> and transportation. CIBC provided motel accommodation and living support for out-of-town students. Local First Nations bands, the Aboriginal Skills, Employment and Training Services (ASETS)</w:t>
      </w:r>
      <w:r w:rsidR="00842CE8">
        <w:rPr>
          <w:rFonts w:asciiTheme="majorHAnsi" w:eastAsia="Times New Roman" w:hAnsiTheme="majorHAnsi" w:cs="Arial"/>
          <w:shd w:val="clear" w:color="auto" w:fill="FFFFFF"/>
        </w:rPr>
        <w:t>,</w:t>
      </w:r>
      <w:r w:rsidRPr="00E852B4">
        <w:rPr>
          <w:rFonts w:asciiTheme="majorHAnsi" w:eastAsia="Times New Roman" w:hAnsiTheme="majorHAnsi" w:cs="Arial"/>
          <w:shd w:val="clear" w:color="auto" w:fill="FFFFFF"/>
        </w:rPr>
        <w:t xml:space="preserve"> and the Okanagan Training and Development Council (OTDC) provided meal allowances; OTDC also sponsored the apprentices. </w:t>
      </w:r>
      <w:r w:rsidRPr="00E852B4">
        <w:rPr>
          <w:rFonts w:asciiTheme="majorHAnsi" w:hAnsiTheme="majorHAnsi" w:cs="Times New Roman"/>
        </w:rPr>
        <w:t xml:space="preserve">Twelve First Nation and Métis students, aged 20-56, completed the first intake of the </w:t>
      </w:r>
      <w:r w:rsidRPr="000A6A7D">
        <w:rPr>
          <w:rFonts w:asciiTheme="majorHAnsi" w:hAnsiTheme="majorHAnsi" w:cs="Times New Roman"/>
        </w:rPr>
        <w:t xml:space="preserve">program </w:t>
      </w:r>
      <w:r w:rsidRPr="000A6A7D">
        <w:rPr>
          <w:rFonts w:asciiTheme="majorHAnsi" w:hAnsiTheme="majorHAnsi"/>
        </w:rPr>
        <w:t>(Okanagan College, 2016)</w:t>
      </w:r>
      <w:r w:rsidRPr="000A6A7D">
        <w:rPr>
          <w:rFonts w:asciiTheme="majorHAnsi" w:hAnsiTheme="majorHAnsi" w:cs="Times New Roman"/>
        </w:rPr>
        <w:t>.</w:t>
      </w:r>
      <w:r w:rsidRPr="00E852B4">
        <w:rPr>
          <w:rFonts w:asciiTheme="majorHAnsi" w:hAnsiTheme="majorHAnsi" w:cs="Times New Roman"/>
        </w:rPr>
        <w:t xml:space="preserve"> </w:t>
      </w:r>
    </w:p>
    <w:p w14:paraId="344DE212" w14:textId="750DA693" w:rsidR="00117308" w:rsidRPr="00E852B4" w:rsidRDefault="00117308" w:rsidP="005B7647">
      <w:pPr>
        <w:pStyle w:val="BodyText"/>
        <w:rPr>
          <w:rFonts w:asciiTheme="majorHAnsi" w:hAnsiTheme="majorHAnsi"/>
        </w:rPr>
      </w:pPr>
      <w:r w:rsidRPr="00E852B4">
        <w:rPr>
          <w:rFonts w:asciiTheme="majorHAnsi" w:eastAsia="Times New Roman" w:hAnsiTheme="majorHAnsi" w:cs="Times New Roman"/>
          <w:shd w:val="clear" w:color="auto" w:fill="FFFFFF"/>
        </w:rPr>
        <w:t xml:space="preserve">Building on the success of the first intake, BC Hydro partnered with the college to fund two further intakes of the program. The program was funded as part of the company’s </w:t>
      </w:r>
      <w:r w:rsidRPr="00E852B4">
        <w:rPr>
          <w:rFonts w:asciiTheme="majorHAnsi" w:hAnsiTheme="majorHAnsi"/>
        </w:rPr>
        <w:t xml:space="preserve">strategic commitment to supporting Indigenous community members with career and training opportunities, and in conjunction with a BC Hydro transmission project in the Okanagan region. Eleven students completed the first intake of the BC Hydro funded program, while eight students completed the second intake. </w:t>
      </w:r>
    </w:p>
    <w:p w14:paraId="6B3F434A" w14:textId="27BC54C9" w:rsidR="00117308" w:rsidRPr="00E852B4" w:rsidRDefault="00117308" w:rsidP="005B7647">
      <w:pPr>
        <w:pStyle w:val="BodyText"/>
        <w:rPr>
          <w:rFonts w:asciiTheme="majorHAnsi" w:hAnsiTheme="majorHAnsi" w:cs="Times New Roman"/>
        </w:rPr>
      </w:pPr>
      <w:r w:rsidRPr="00E852B4">
        <w:rPr>
          <w:rFonts w:asciiTheme="majorHAnsi" w:hAnsiTheme="majorHAnsi"/>
        </w:rPr>
        <w:t xml:space="preserve">Mentorship and career guidance were important components of the program’s success, </w:t>
      </w:r>
      <w:r>
        <w:rPr>
          <w:rFonts w:asciiTheme="majorHAnsi" w:hAnsiTheme="majorHAnsi"/>
        </w:rPr>
        <w:t xml:space="preserve">with students receiving </w:t>
      </w:r>
      <w:r w:rsidRPr="00E852B4">
        <w:rPr>
          <w:rFonts w:asciiTheme="majorHAnsi" w:eastAsia="Times New Roman" w:hAnsiTheme="majorHAnsi" w:cs="Times New Roman"/>
          <w:shd w:val="clear" w:color="auto" w:fill="FFFFFF"/>
        </w:rPr>
        <w:t xml:space="preserve">one-on-one training and support from an </w:t>
      </w:r>
      <w:r w:rsidRPr="00E852B4">
        <w:rPr>
          <w:rFonts w:asciiTheme="majorHAnsi" w:hAnsiTheme="majorHAnsi" w:cs="Times New Roman"/>
        </w:rPr>
        <w:t xml:space="preserve">Aboriginal Classroom Mentor and Aboriginal Trades Transition Planner. Further culturally tailored elements of the program, such as running components of the training in Indigenous communities, and having some Indigenous employers, created an environment in which students felt comfortable and contributed to their academic and work placement success. </w:t>
      </w:r>
    </w:p>
    <w:p w14:paraId="6BCD5A34" w14:textId="7F0D657A" w:rsidR="00117308" w:rsidRPr="00E852B4" w:rsidRDefault="00117308" w:rsidP="005B7647">
      <w:pPr>
        <w:pStyle w:val="BodyText"/>
        <w:rPr>
          <w:rFonts w:asciiTheme="majorHAnsi" w:hAnsiTheme="majorHAnsi" w:cs="Times New Roman"/>
        </w:rPr>
      </w:pPr>
      <w:r w:rsidRPr="00E852B4">
        <w:rPr>
          <w:rFonts w:asciiTheme="majorHAnsi" w:hAnsiTheme="majorHAnsi" w:cs="Times New Roman"/>
        </w:rPr>
        <w:t xml:space="preserve">The per student cost of running the program varied from $7,000-$13,500, depending on the duration of the training which varied from nine to 11 weeks, due to program adjustments across the years it was run. A breakdown of program details is provided in the below table. </w:t>
      </w:r>
    </w:p>
    <w:p w14:paraId="6ACD31BA" w14:textId="044323A9" w:rsidR="00117308" w:rsidRPr="00117308" w:rsidRDefault="00117308" w:rsidP="00117308">
      <w:pPr>
        <w:shd w:val="clear" w:color="auto" w:fill="FFFFFF"/>
        <w:rPr>
          <w:rFonts w:asciiTheme="majorHAnsi" w:hAnsiTheme="majorHAnsi" w:cs="Times New Roman"/>
        </w:rPr>
      </w:pPr>
      <w:r w:rsidRPr="00E852B4">
        <w:rPr>
          <w:rFonts w:asciiTheme="majorHAnsi" w:hAnsiTheme="majorHAnsi" w:cs="Times New Roman"/>
        </w:rPr>
        <w:t>Table 3: Okanagan College Construction Craft Worker Aboriginal programs</w:t>
      </w:r>
      <w:r>
        <w:rPr>
          <w:rFonts w:asciiTheme="majorHAnsi" w:hAnsiTheme="majorHAnsi" w:cs="Times New Roman"/>
        </w:rPr>
        <w:t xml:space="preserve">. </w:t>
      </w:r>
    </w:p>
    <w:tbl>
      <w:tblPr>
        <w:tblStyle w:val="TableGrid"/>
        <w:tblW w:w="0" w:type="auto"/>
        <w:tblInd w:w="108" w:type="dxa"/>
        <w:tblLook w:val="04A0" w:firstRow="1" w:lastRow="0" w:firstColumn="1" w:lastColumn="0" w:noHBand="0" w:noVBand="1"/>
      </w:tblPr>
      <w:tblGrid>
        <w:gridCol w:w="1276"/>
        <w:gridCol w:w="2835"/>
        <w:gridCol w:w="1094"/>
        <w:gridCol w:w="1771"/>
        <w:gridCol w:w="1772"/>
      </w:tblGrid>
      <w:tr w:rsidR="00117308" w14:paraId="76B45C4D" w14:textId="77777777" w:rsidTr="003D70B9">
        <w:tc>
          <w:tcPr>
            <w:tcW w:w="1276" w:type="dxa"/>
          </w:tcPr>
          <w:p w14:paraId="5CF9922C" w14:textId="77777777" w:rsidR="00117308" w:rsidRPr="00FB1B43" w:rsidRDefault="00117308" w:rsidP="00543999">
            <w:pPr>
              <w:spacing w:line="276" w:lineRule="auto"/>
              <w:rPr>
                <w:rFonts w:ascii="Calibri" w:hAnsi="Calibri" w:cs="Times New Roman"/>
                <w:b/>
                <w:sz w:val="22"/>
                <w:szCs w:val="22"/>
              </w:rPr>
            </w:pPr>
            <w:r w:rsidRPr="00FB1B43">
              <w:rPr>
                <w:rFonts w:ascii="Calibri" w:hAnsi="Calibri" w:cs="Times New Roman"/>
                <w:b/>
                <w:sz w:val="22"/>
                <w:szCs w:val="22"/>
              </w:rPr>
              <w:t>Year</w:t>
            </w:r>
          </w:p>
        </w:tc>
        <w:tc>
          <w:tcPr>
            <w:tcW w:w="2835" w:type="dxa"/>
          </w:tcPr>
          <w:p w14:paraId="6D698782" w14:textId="77777777" w:rsidR="00117308" w:rsidRPr="00FB1B43" w:rsidRDefault="00117308" w:rsidP="00543999">
            <w:pPr>
              <w:spacing w:line="276" w:lineRule="auto"/>
              <w:rPr>
                <w:rFonts w:ascii="Calibri" w:hAnsi="Calibri" w:cs="Times New Roman"/>
                <w:b/>
                <w:sz w:val="22"/>
                <w:szCs w:val="22"/>
              </w:rPr>
            </w:pPr>
            <w:r>
              <w:rPr>
                <w:rFonts w:ascii="Calibri" w:hAnsi="Calibri" w:cs="Times New Roman"/>
                <w:b/>
                <w:sz w:val="22"/>
                <w:szCs w:val="22"/>
              </w:rPr>
              <w:t>Program t</w:t>
            </w:r>
            <w:r w:rsidRPr="00FB1B43">
              <w:rPr>
                <w:rFonts w:ascii="Calibri" w:hAnsi="Calibri" w:cs="Times New Roman"/>
                <w:b/>
                <w:sz w:val="22"/>
                <w:szCs w:val="22"/>
              </w:rPr>
              <w:t>itle</w:t>
            </w:r>
          </w:p>
        </w:tc>
        <w:tc>
          <w:tcPr>
            <w:tcW w:w="1094" w:type="dxa"/>
          </w:tcPr>
          <w:p w14:paraId="04808B27" w14:textId="77777777" w:rsidR="00117308" w:rsidRPr="00FB1B43" w:rsidRDefault="00117308" w:rsidP="00543999">
            <w:pPr>
              <w:spacing w:line="276" w:lineRule="auto"/>
              <w:rPr>
                <w:rFonts w:ascii="Calibri" w:hAnsi="Calibri" w:cs="Times New Roman"/>
                <w:b/>
                <w:sz w:val="22"/>
                <w:szCs w:val="22"/>
              </w:rPr>
            </w:pPr>
            <w:r w:rsidRPr="00FB1B43">
              <w:rPr>
                <w:rFonts w:ascii="Calibri" w:hAnsi="Calibri" w:cs="Times New Roman"/>
                <w:b/>
                <w:sz w:val="22"/>
                <w:szCs w:val="22"/>
              </w:rPr>
              <w:t>Weeks of training</w:t>
            </w:r>
          </w:p>
        </w:tc>
        <w:tc>
          <w:tcPr>
            <w:tcW w:w="1771" w:type="dxa"/>
          </w:tcPr>
          <w:p w14:paraId="526713A2" w14:textId="77777777" w:rsidR="00117308" w:rsidRPr="00FB1B43" w:rsidRDefault="00117308" w:rsidP="00543999">
            <w:pPr>
              <w:spacing w:line="276" w:lineRule="auto"/>
              <w:rPr>
                <w:rFonts w:ascii="Calibri" w:hAnsi="Calibri" w:cs="Times New Roman"/>
                <w:b/>
                <w:sz w:val="22"/>
                <w:szCs w:val="22"/>
              </w:rPr>
            </w:pPr>
            <w:r w:rsidRPr="00FB1B43">
              <w:rPr>
                <w:rFonts w:ascii="Calibri" w:hAnsi="Calibri" w:cs="Times New Roman"/>
                <w:b/>
                <w:sz w:val="22"/>
                <w:szCs w:val="22"/>
              </w:rPr>
              <w:t>Funder</w:t>
            </w:r>
          </w:p>
        </w:tc>
        <w:tc>
          <w:tcPr>
            <w:tcW w:w="1772" w:type="dxa"/>
          </w:tcPr>
          <w:p w14:paraId="57691E18" w14:textId="505D5346" w:rsidR="00117308" w:rsidRPr="00FB1B43" w:rsidRDefault="00652099" w:rsidP="00652099">
            <w:pPr>
              <w:spacing w:line="276" w:lineRule="auto"/>
              <w:rPr>
                <w:rFonts w:ascii="Calibri" w:hAnsi="Calibri" w:cs="Times New Roman"/>
                <w:b/>
                <w:sz w:val="22"/>
                <w:szCs w:val="22"/>
              </w:rPr>
            </w:pPr>
            <w:r>
              <w:rPr>
                <w:rFonts w:ascii="Calibri" w:hAnsi="Calibri" w:cs="Times New Roman"/>
                <w:b/>
                <w:sz w:val="22"/>
                <w:szCs w:val="22"/>
              </w:rPr>
              <w:t xml:space="preserve">Number of </w:t>
            </w:r>
            <w:r w:rsidR="00117308">
              <w:rPr>
                <w:rFonts w:ascii="Calibri" w:hAnsi="Calibri" w:cs="Times New Roman"/>
                <w:b/>
                <w:sz w:val="22"/>
                <w:szCs w:val="22"/>
              </w:rPr>
              <w:t xml:space="preserve">Students </w:t>
            </w:r>
            <w:r w:rsidR="004E6CD5">
              <w:rPr>
                <w:rFonts w:ascii="Calibri" w:hAnsi="Calibri" w:cs="Times New Roman"/>
                <w:b/>
                <w:sz w:val="22"/>
                <w:szCs w:val="22"/>
              </w:rPr>
              <w:t xml:space="preserve">to complete </w:t>
            </w:r>
            <w:r>
              <w:rPr>
                <w:rFonts w:ascii="Calibri" w:hAnsi="Calibri" w:cs="Times New Roman"/>
                <w:b/>
                <w:sz w:val="22"/>
                <w:szCs w:val="22"/>
              </w:rPr>
              <w:t>program</w:t>
            </w:r>
          </w:p>
        </w:tc>
      </w:tr>
      <w:tr w:rsidR="00117308" w14:paraId="64FAEE6F" w14:textId="77777777" w:rsidTr="003D70B9">
        <w:tc>
          <w:tcPr>
            <w:tcW w:w="1276" w:type="dxa"/>
          </w:tcPr>
          <w:p w14:paraId="0045F129"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2015 - 2016</w:t>
            </w:r>
          </w:p>
        </w:tc>
        <w:tc>
          <w:tcPr>
            <w:tcW w:w="2835" w:type="dxa"/>
          </w:tcPr>
          <w:p w14:paraId="164156B0"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Construction Craft Worker Aboriginal Bridging Program</w:t>
            </w:r>
          </w:p>
        </w:tc>
        <w:tc>
          <w:tcPr>
            <w:tcW w:w="1094" w:type="dxa"/>
          </w:tcPr>
          <w:p w14:paraId="63A75888"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9</w:t>
            </w:r>
          </w:p>
        </w:tc>
        <w:tc>
          <w:tcPr>
            <w:tcW w:w="1771" w:type="dxa"/>
          </w:tcPr>
          <w:p w14:paraId="25FC4343" w14:textId="77777777" w:rsidR="00117308" w:rsidRPr="00FB1B43" w:rsidRDefault="00117308" w:rsidP="004E6CD5">
            <w:pPr>
              <w:spacing w:after="120" w:line="276" w:lineRule="auto"/>
              <w:rPr>
                <w:rFonts w:ascii="Calibri" w:hAnsi="Calibri" w:cs="Times New Roman"/>
                <w:sz w:val="22"/>
                <w:szCs w:val="22"/>
              </w:rPr>
            </w:pPr>
            <w:r w:rsidRPr="00FB1B43">
              <w:rPr>
                <w:rFonts w:ascii="Calibri" w:hAnsi="Calibri" w:cs="Times New Roman"/>
                <w:sz w:val="22"/>
                <w:szCs w:val="22"/>
              </w:rPr>
              <w:t>Employment Services and Supports, Work BC</w:t>
            </w:r>
          </w:p>
        </w:tc>
        <w:tc>
          <w:tcPr>
            <w:tcW w:w="1772" w:type="dxa"/>
          </w:tcPr>
          <w:p w14:paraId="59AD35EF" w14:textId="77777777" w:rsidR="00117308" w:rsidRPr="00FB1B43" w:rsidRDefault="00117308" w:rsidP="00543999">
            <w:pPr>
              <w:spacing w:line="276" w:lineRule="auto"/>
              <w:jc w:val="both"/>
              <w:rPr>
                <w:rFonts w:ascii="Calibri" w:hAnsi="Calibri" w:cs="Times New Roman"/>
                <w:sz w:val="22"/>
                <w:szCs w:val="22"/>
              </w:rPr>
            </w:pPr>
            <w:r w:rsidRPr="00FB1B43">
              <w:rPr>
                <w:rFonts w:ascii="Calibri" w:hAnsi="Calibri" w:cs="Times New Roman"/>
                <w:sz w:val="22"/>
                <w:szCs w:val="22"/>
              </w:rPr>
              <w:t>12</w:t>
            </w:r>
          </w:p>
        </w:tc>
      </w:tr>
      <w:tr w:rsidR="00117308" w14:paraId="07665B75" w14:textId="77777777" w:rsidTr="003D70B9">
        <w:tc>
          <w:tcPr>
            <w:tcW w:w="1276" w:type="dxa"/>
          </w:tcPr>
          <w:p w14:paraId="099A05A6"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2016</w:t>
            </w:r>
          </w:p>
        </w:tc>
        <w:tc>
          <w:tcPr>
            <w:tcW w:w="2835" w:type="dxa"/>
          </w:tcPr>
          <w:p w14:paraId="74D7654D" w14:textId="77777777" w:rsidR="00117308" w:rsidRPr="00FB1B43" w:rsidRDefault="00117308" w:rsidP="00147CD5">
            <w:pPr>
              <w:spacing w:after="120" w:line="276" w:lineRule="auto"/>
              <w:rPr>
                <w:rFonts w:ascii="Calibri" w:hAnsi="Calibri" w:cs="Times New Roman"/>
                <w:sz w:val="22"/>
                <w:szCs w:val="22"/>
              </w:rPr>
            </w:pPr>
            <w:r w:rsidRPr="00FB1B43">
              <w:rPr>
                <w:rFonts w:ascii="Calibri" w:hAnsi="Calibri" w:cs="Times New Roman"/>
                <w:sz w:val="22"/>
                <w:szCs w:val="22"/>
              </w:rPr>
              <w:t>Construction Craft Worker Aboriginal Bridging Program</w:t>
            </w:r>
          </w:p>
        </w:tc>
        <w:tc>
          <w:tcPr>
            <w:tcW w:w="1094" w:type="dxa"/>
          </w:tcPr>
          <w:p w14:paraId="06563D6D"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11</w:t>
            </w:r>
          </w:p>
        </w:tc>
        <w:tc>
          <w:tcPr>
            <w:tcW w:w="1771" w:type="dxa"/>
          </w:tcPr>
          <w:p w14:paraId="357F3B37"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BC Hydro</w:t>
            </w:r>
          </w:p>
        </w:tc>
        <w:tc>
          <w:tcPr>
            <w:tcW w:w="1772" w:type="dxa"/>
          </w:tcPr>
          <w:p w14:paraId="6D0F84CB" w14:textId="77777777" w:rsidR="00117308" w:rsidRPr="00FB1B43" w:rsidRDefault="00117308" w:rsidP="00543999">
            <w:pPr>
              <w:spacing w:line="276" w:lineRule="auto"/>
              <w:jc w:val="both"/>
              <w:rPr>
                <w:rFonts w:ascii="Calibri" w:hAnsi="Calibri" w:cs="Times New Roman"/>
                <w:sz w:val="22"/>
                <w:szCs w:val="22"/>
              </w:rPr>
            </w:pPr>
            <w:r w:rsidRPr="00FB1B43">
              <w:rPr>
                <w:rFonts w:ascii="Calibri" w:hAnsi="Calibri" w:cs="Times New Roman"/>
                <w:sz w:val="22"/>
                <w:szCs w:val="22"/>
              </w:rPr>
              <w:t>11</w:t>
            </w:r>
          </w:p>
        </w:tc>
      </w:tr>
      <w:tr w:rsidR="00117308" w14:paraId="0628B106" w14:textId="77777777" w:rsidTr="003D70B9">
        <w:tc>
          <w:tcPr>
            <w:tcW w:w="1276" w:type="dxa"/>
          </w:tcPr>
          <w:p w14:paraId="7CCF46C8"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2017</w:t>
            </w:r>
          </w:p>
        </w:tc>
        <w:tc>
          <w:tcPr>
            <w:tcW w:w="2835" w:type="dxa"/>
          </w:tcPr>
          <w:p w14:paraId="36DB5819" w14:textId="0E35BE9C" w:rsidR="00117308" w:rsidRPr="00147CD5" w:rsidRDefault="00147CD5" w:rsidP="00147CD5">
            <w:pPr>
              <w:spacing w:after="120"/>
              <w:rPr>
                <w:rFonts w:asciiTheme="majorHAnsi" w:eastAsia="Times New Roman" w:hAnsiTheme="majorHAnsi" w:cs="Times New Roman"/>
                <w:color w:val="0D0D0D" w:themeColor="text1" w:themeTint="F2"/>
                <w:sz w:val="22"/>
                <w:szCs w:val="22"/>
              </w:rPr>
            </w:pPr>
            <w:r w:rsidRPr="00147CD5">
              <w:rPr>
                <w:rFonts w:asciiTheme="majorHAnsi" w:eastAsia="Times New Roman" w:hAnsiTheme="majorHAnsi" w:cs="Times New Roman"/>
                <w:color w:val="0D0D0D" w:themeColor="text1" w:themeTint="F2"/>
                <w:sz w:val="22"/>
                <w:szCs w:val="22"/>
                <w:shd w:val="clear" w:color="auto" w:fill="FFFFFF"/>
              </w:rPr>
              <w:t>Construction Craft Worker 2 – Aboriginal Journeyperson Preparation Program</w:t>
            </w:r>
          </w:p>
        </w:tc>
        <w:tc>
          <w:tcPr>
            <w:tcW w:w="1094" w:type="dxa"/>
          </w:tcPr>
          <w:p w14:paraId="17CF9139"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12</w:t>
            </w:r>
          </w:p>
        </w:tc>
        <w:tc>
          <w:tcPr>
            <w:tcW w:w="1771" w:type="dxa"/>
          </w:tcPr>
          <w:p w14:paraId="1102FEE4" w14:textId="77777777" w:rsidR="00117308" w:rsidRPr="00FB1B43" w:rsidRDefault="00117308" w:rsidP="00543999">
            <w:pPr>
              <w:spacing w:line="276" w:lineRule="auto"/>
              <w:rPr>
                <w:rFonts w:ascii="Calibri" w:hAnsi="Calibri" w:cs="Times New Roman"/>
                <w:sz w:val="22"/>
                <w:szCs w:val="22"/>
              </w:rPr>
            </w:pPr>
            <w:r w:rsidRPr="00FB1B43">
              <w:rPr>
                <w:rFonts w:ascii="Calibri" w:hAnsi="Calibri" w:cs="Times New Roman"/>
                <w:sz w:val="22"/>
                <w:szCs w:val="22"/>
              </w:rPr>
              <w:t>BC Hydro</w:t>
            </w:r>
          </w:p>
        </w:tc>
        <w:tc>
          <w:tcPr>
            <w:tcW w:w="1772" w:type="dxa"/>
          </w:tcPr>
          <w:p w14:paraId="3AF939BC" w14:textId="77777777" w:rsidR="00117308" w:rsidRPr="00FB1B43" w:rsidRDefault="00117308" w:rsidP="00543999">
            <w:pPr>
              <w:spacing w:line="276" w:lineRule="auto"/>
              <w:jc w:val="both"/>
              <w:rPr>
                <w:rFonts w:ascii="Calibri" w:hAnsi="Calibri" w:cs="Times New Roman"/>
                <w:sz w:val="22"/>
                <w:szCs w:val="22"/>
              </w:rPr>
            </w:pPr>
            <w:r w:rsidRPr="00FB1B43">
              <w:rPr>
                <w:rFonts w:ascii="Calibri" w:hAnsi="Calibri" w:cs="Times New Roman"/>
                <w:sz w:val="22"/>
                <w:szCs w:val="22"/>
              </w:rPr>
              <w:t>8</w:t>
            </w:r>
          </w:p>
        </w:tc>
      </w:tr>
    </w:tbl>
    <w:p w14:paraId="64F37B1D" w14:textId="77777777" w:rsidR="00117308" w:rsidRPr="004E6CD5" w:rsidRDefault="00117308" w:rsidP="00117308">
      <w:pPr>
        <w:shd w:val="clear" w:color="auto" w:fill="FFFFFF"/>
        <w:rPr>
          <w:rFonts w:cs="Times New Roman"/>
          <w:color w:val="1F497D"/>
          <w:sz w:val="6"/>
          <w:szCs w:val="6"/>
        </w:rPr>
      </w:pPr>
    </w:p>
    <w:p w14:paraId="49EE9875" w14:textId="131769D1" w:rsidR="00117308" w:rsidRPr="00E852B4" w:rsidRDefault="00117308" w:rsidP="005B7647">
      <w:pPr>
        <w:pStyle w:val="BodyText"/>
      </w:pPr>
      <w:r w:rsidRPr="00E852B4">
        <w:t xml:space="preserve">While the program concluded at the end of BC Hydro’s two-year funding, Okanagan College remains open to continuing the program with further funding from BC Hydro or another company. Despite the discontinuation of the program, this type of customized Indigenous delivery is being considered for other programs at the college, including implementation of the Aboriginal Classroom Mentor and Aboriginal Trades Transition Planner positions (dependent on program suitability and project funding). </w:t>
      </w:r>
    </w:p>
    <w:p w14:paraId="3B579244" w14:textId="357C4D4E" w:rsidR="00016DFC" w:rsidRPr="003D70B9" w:rsidRDefault="00117308" w:rsidP="005B7647">
      <w:pPr>
        <w:pStyle w:val="BodyText"/>
        <w:spacing w:after="360"/>
        <w:rPr>
          <w:rStyle w:val="BookTitle"/>
          <w:rFonts w:cs="Times New Roman"/>
          <w:bCs w:val="0"/>
          <w:i w:val="0"/>
          <w:color w:val="auto"/>
          <w:spacing w:val="0"/>
        </w:rPr>
      </w:pPr>
      <w:r w:rsidRPr="00E852B4">
        <w:t>The professional development gained by Indigenous individuals who held mentorship or career guidance positions in the program illustrate an addition</w:t>
      </w:r>
      <w:r>
        <w:t>al side-benefit gained from the initiative</w:t>
      </w:r>
      <w:r w:rsidRPr="00E852B4">
        <w:t xml:space="preserve">. </w:t>
      </w:r>
      <w:r>
        <w:t xml:space="preserve">Individuals </w:t>
      </w:r>
      <w:r w:rsidRPr="00E852B4">
        <w:t>who held these positions built skills and experience that supported</w:t>
      </w:r>
      <w:r>
        <w:t xml:space="preserve"> their career development, and went </w:t>
      </w:r>
      <w:r w:rsidRPr="00E852B4">
        <w:t>on to hold instructor positions or gain further training at the conclusion of the program</w:t>
      </w:r>
      <w:r>
        <w:t xml:space="preserve"> (S. Cousins, personal communication, November 1, 2018)</w:t>
      </w:r>
      <w:r w:rsidRPr="00E852B4">
        <w:t xml:space="preserve">. </w:t>
      </w:r>
    </w:p>
    <w:p w14:paraId="52BCBDC9" w14:textId="77777777" w:rsidR="00F91B43" w:rsidRPr="006A688E" w:rsidRDefault="008267C3" w:rsidP="006A688E">
      <w:pPr>
        <w:pStyle w:val="HeadingE4"/>
        <w:rPr>
          <w:highlight w:val="white"/>
        </w:rPr>
      </w:pPr>
      <w:r w:rsidRPr="006A688E">
        <w:rPr>
          <w:highlight w:val="white"/>
        </w:rPr>
        <w:t>Indigenous International WIL Exchange Program, Victoria, BC</w:t>
      </w:r>
    </w:p>
    <w:p w14:paraId="668FCBD2" w14:textId="77777777" w:rsidR="004E2ECE" w:rsidRDefault="004E2ECE" w:rsidP="005B7647">
      <w:pPr>
        <w:pStyle w:val="BodyText"/>
      </w:pPr>
      <w:r>
        <w:rPr>
          <w:highlight w:val="white"/>
        </w:rPr>
        <w:t>The Indigenous International WIL Exchange Program is offered by the University of Victoria and is believed to be the only international Indigenous-to-Indigenous exchange of its kind. The program is offered to Indigenous co-op students at the University of Victoria and runs in partnership with three Australian universities. Canadian students in the program travel to Australia and complete a work term in which they connect with Indigenous people and communities, while Australian Indigenous students travel to the University of Victoria to take part in its LE,NO</w:t>
      </w:r>
      <w:r>
        <w:rPr>
          <w:highlight w:val="white"/>
          <w:u w:val="single"/>
        </w:rPr>
        <w:t>N</w:t>
      </w:r>
      <w:r>
        <w:rPr>
          <w:highlight w:val="white"/>
        </w:rPr>
        <w:t xml:space="preserve">ET (pronounced "le-nong-it") program and complete a community internship (University of Victoria, 2018). </w:t>
      </w:r>
    </w:p>
    <w:p w14:paraId="358B13C0" w14:textId="77777777" w:rsidR="004E2ECE" w:rsidRDefault="004E2ECE" w:rsidP="005B7647">
      <w:pPr>
        <w:pStyle w:val="BodyText"/>
      </w:pPr>
      <w:r>
        <w:t xml:space="preserve">The program was initiated with the objective of providing culturally relevant WIL opportunities to Indigenous students with a commitment to maintaining a high quality program. Since its establishment in 2015, seven students have participated in the program, five from the University of Victoria, and two from Australian universities. A further University of Victoria student is scheduled to begin the program in January 2019. The University of Victoria has been careful to expand the program at a rate that ensures respect for the cultural aspects of the program, and to maintain a balance of supply and demand. In the long-term, with appropriate resources and commitment to the quality and cultural relevance of the program, the university sees potential to grow the program into a province-wide, or national program. </w:t>
      </w:r>
    </w:p>
    <w:p w14:paraId="33818C23" w14:textId="084D5A2C" w:rsidR="004E2ECE" w:rsidRDefault="004E2ECE" w:rsidP="005B7647">
      <w:pPr>
        <w:pStyle w:val="BodyText"/>
      </w:pPr>
      <w:r>
        <w:t xml:space="preserve">The exchange program was established </w:t>
      </w:r>
      <w:r>
        <w:rPr>
          <w:highlight w:val="white"/>
        </w:rPr>
        <w:t>with funding from the Queen Elizabeth II Diamond Jubilee Scholarships program, a partnership between Universities Canada, the Rideau Hall Foundation and Community Foundations of Canada, with financial support from the Government of Canada, provincial governments and the private sector</w:t>
      </w:r>
      <w:r>
        <w:t>. Students from the University of Victoria that have participated in the program have each received $6,000 in funding to assist in covering the cost of the exchange. The first three students to participate received this funding from the Queen Elizabeth Scho</w:t>
      </w:r>
      <w:r w:rsidR="00543999">
        <w:t>larships program, while the following</w:t>
      </w:r>
      <w:r>
        <w:t xml:space="preserve"> two received $1,000 each from the Queen Elizabeth Scholarships program, and $5,000 each from the University of Victoria. Australian partner institutions provided an additional $5,000 stipend per student. As of </w:t>
      </w:r>
      <w:r w:rsidR="00B055D8">
        <w:t xml:space="preserve">December </w:t>
      </w:r>
      <w:r>
        <w:t xml:space="preserve">2018, the Queen Elizabeth Scholarship funding has been spent, and the University of Victoria is exploring other avenues of funding for the program. </w:t>
      </w:r>
    </w:p>
    <w:p w14:paraId="0BE9D6F6" w14:textId="1A89119E" w:rsidR="004E2ECE" w:rsidRDefault="004E2ECE" w:rsidP="005B7647">
      <w:pPr>
        <w:pStyle w:val="BodyText"/>
        <w:spacing w:after="360"/>
        <w:rPr>
          <w:highlight w:val="white"/>
        </w:rPr>
      </w:pPr>
      <w:r>
        <w:t xml:space="preserve">The administrative cost of the exchange program </w:t>
      </w:r>
      <w:r w:rsidR="00543999">
        <w:t xml:space="preserve">for the University of Victoria </w:t>
      </w:r>
      <w:r>
        <w:t xml:space="preserve">equates to $4,500 per placement, allocated as follows: $2,000 for placement administration, $1,500 for pre-departure management and assessment, $500 for registration, and $500 for </w:t>
      </w:r>
      <w:r w:rsidRPr="0071475D">
        <w:t>communications (</w:t>
      </w:r>
      <w:r w:rsidRPr="0071475D">
        <w:rPr>
          <w:highlight w:val="white"/>
        </w:rPr>
        <w:t xml:space="preserve">K. Ramji, </w:t>
      </w:r>
      <w:r w:rsidR="004A76A5">
        <w:rPr>
          <w:highlight w:val="white"/>
        </w:rPr>
        <w:t>p</w:t>
      </w:r>
      <w:r w:rsidR="004A76A5" w:rsidRPr="0071475D">
        <w:rPr>
          <w:highlight w:val="white"/>
        </w:rPr>
        <w:t xml:space="preserve">ersonal communication, </w:t>
      </w:r>
      <w:r w:rsidRPr="0071475D">
        <w:rPr>
          <w:highlight w:val="white"/>
        </w:rPr>
        <w:t>October 31, 2018).</w:t>
      </w:r>
    </w:p>
    <w:p w14:paraId="0557632B" w14:textId="77777777" w:rsidR="00084054" w:rsidRPr="006A688E" w:rsidRDefault="00084054" w:rsidP="006A688E">
      <w:pPr>
        <w:pStyle w:val="HeadingE4"/>
      </w:pPr>
      <w:r w:rsidRPr="006A688E">
        <w:t>Decolonizing community engagement and service-learning, Winnipeg, MB</w:t>
      </w:r>
    </w:p>
    <w:p w14:paraId="04841F53" w14:textId="77777777" w:rsidR="00084054" w:rsidRDefault="00084054" w:rsidP="005B7647">
      <w:pPr>
        <w:pStyle w:val="BodyText"/>
      </w:pPr>
      <w:r>
        <w:t xml:space="preserve">The University of Manitoba’s Community Service-Learning program is conducting a project to produce a framework and resources for decolonizing its community engagement and service-learning practices as a way to improve its Indigenous engagement practices. The project was initiated in response to the Truth and Reconciliation Commission’s Calls to Action, and the university’s strategic priorities of increasing Indigenous achievement, experiential learning, and community engagement. </w:t>
      </w:r>
    </w:p>
    <w:p w14:paraId="5BB25731" w14:textId="77777777" w:rsidR="00084054" w:rsidRDefault="00084054" w:rsidP="005B7647">
      <w:pPr>
        <w:pStyle w:val="BodyText"/>
      </w:pPr>
      <w:r>
        <w:t xml:space="preserve">The program is working on the project in collaboration with Indigenous community partners, university staff, and faculty, and aims to develop a framework and resources that will enable participants to meaningfully work and learn alongside Indigenous peoples and communities in a more holistic and community-led way that moves beyond typical engagement models. The program is committed to using the framework and resources to decolonize their practices and pedagogies, and hopes these outputs will be useful to other service-learning practitioners, students and Indigenous communities who want to work together (University of Manitoba, 2018). </w:t>
      </w:r>
    </w:p>
    <w:p w14:paraId="29931478" w14:textId="5C8A06D5" w:rsidR="00016DFC" w:rsidRPr="007F655C" w:rsidRDefault="00084054" w:rsidP="005B7647">
      <w:pPr>
        <w:pStyle w:val="BodyText"/>
        <w:spacing w:after="480"/>
      </w:pPr>
      <w:r>
        <w:t>The project is funded through the University of Manitoba’s Indigenous Initiatives Fund that was created to support projects that further the university’s strategic goals associated with Indigenous achievement. The project was awarded $43,200 in the fund’s 2017-18 funding cycle (proposals to the fund are invited for projects up to $50,0</w:t>
      </w:r>
      <w:r w:rsidR="005E44AB">
        <w:t xml:space="preserve">00) (University of Manitoba, </w:t>
      </w:r>
      <w:r w:rsidR="009C5EE4">
        <w:t>n.</w:t>
      </w:r>
      <w:r>
        <w:t>d.).</w:t>
      </w:r>
    </w:p>
    <w:p w14:paraId="395C6C11" w14:textId="77777777" w:rsidR="00F91B43" w:rsidRPr="006A688E" w:rsidRDefault="008267C3" w:rsidP="006A688E">
      <w:pPr>
        <w:pStyle w:val="HeadingE1"/>
        <w:spacing w:after="240"/>
      </w:pPr>
      <w:bookmarkStart w:id="15" w:name="_Toc403133205"/>
      <w:r w:rsidRPr="006A688E">
        <w:t>WIL programs from overseas: Case Study – Australia</w:t>
      </w:r>
      <w:bookmarkEnd w:id="15"/>
    </w:p>
    <w:p w14:paraId="29AAA83C" w14:textId="77777777" w:rsidR="00F91B43" w:rsidRPr="005B7647" w:rsidRDefault="008267C3" w:rsidP="005B7647">
      <w:pPr>
        <w:pStyle w:val="HeadingE3"/>
      </w:pPr>
      <w:r w:rsidRPr="005B7647">
        <w:t xml:space="preserve">Promising practices from Australia </w:t>
      </w:r>
    </w:p>
    <w:p w14:paraId="1304DA65" w14:textId="0B4504D2" w:rsidR="00F91B43" w:rsidRDefault="008267C3" w:rsidP="005B7647">
      <w:pPr>
        <w:pStyle w:val="Normal1"/>
        <w:pBdr>
          <w:top w:val="nil"/>
          <w:left w:val="nil"/>
          <w:bottom w:val="nil"/>
          <w:right w:val="nil"/>
          <w:between w:val="nil"/>
        </w:pBdr>
        <w:spacing w:after="360"/>
        <w:jc w:val="both"/>
        <w:rPr>
          <w:color w:val="000000"/>
        </w:rPr>
      </w:pPr>
      <w:r>
        <w:rPr>
          <w:color w:val="000000"/>
        </w:rPr>
        <w:t>The following section covers</w:t>
      </w:r>
      <w:r w:rsidR="001644A7">
        <w:rPr>
          <w:color w:val="000000"/>
        </w:rPr>
        <w:t xml:space="preserve"> examples of</w:t>
      </w:r>
      <w:r>
        <w:rPr>
          <w:color w:val="000000"/>
        </w:rPr>
        <w:t xml:space="preserve"> two </w:t>
      </w:r>
      <w:r w:rsidR="001644A7">
        <w:rPr>
          <w:color w:val="000000"/>
        </w:rPr>
        <w:t xml:space="preserve">Australian initiatives </w:t>
      </w:r>
      <w:r w:rsidR="00D45DD0">
        <w:rPr>
          <w:color w:val="000000"/>
        </w:rPr>
        <w:t xml:space="preserve">promoting </w:t>
      </w:r>
      <w:r w:rsidR="001644A7">
        <w:rPr>
          <w:color w:val="000000"/>
        </w:rPr>
        <w:t xml:space="preserve">WIL engagement. </w:t>
      </w:r>
      <w:r w:rsidR="00F30093">
        <w:rPr>
          <w:color w:val="000000"/>
        </w:rPr>
        <w:t xml:space="preserve">As a country that has implemented a national WIL strategy, </w:t>
      </w:r>
      <w:r>
        <w:rPr>
          <w:color w:val="000000"/>
        </w:rPr>
        <w:t xml:space="preserve">Australia was selected for its advanced WIL practices and as a comparable jurisdiction to Canada. The first </w:t>
      </w:r>
      <w:r w:rsidR="00F30093">
        <w:rPr>
          <w:color w:val="000000"/>
        </w:rPr>
        <w:t xml:space="preserve">example </w:t>
      </w:r>
      <w:r>
        <w:rPr>
          <w:color w:val="000000"/>
        </w:rPr>
        <w:t>covers a study conducted to encourage industry engagement with WIL, while the second describes an initiativ</w:t>
      </w:r>
      <w:r w:rsidR="00F30093">
        <w:rPr>
          <w:color w:val="000000"/>
        </w:rPr>
        <w:t>e providing</w:t>
      </w:r>
      <w:r>
        <w:rPr>
          <w:color w:val="000000"/>
        </w:rPr>
        <w:t xml:space="preserve"> Indigenous university students with personal and professional development while building the educational aspirations of Indigenous high school students. </w:t>
      </w:r>
    </w:p>
    <w:p w14:paraId="3C3B0AF1" w14:textId="77777777" w:rsidR="00F91B43" w:rsidRDefault="008267C3" w:rsidP="004077DD">
      <w:pPr>
        <w:pStyle w:val="Normal1"/>
        <w:numPr>
          <w:ilvl w:val="0"/>
          <w:numId w:val="26"/>
        </w:numPr>
        <w:pBdr>
          <w:top w:val="nil"/>
          <w:left w:val="nil"/>
          <w:bottom w:val="nil"/>
          <w:right w:val="nil"/>
          <w:between w:val="nil"/>
        </w:pBdr>
        <w:spacing w:after="0"/>
        <w:ind w:left="425" w:hanging="425"/>
        <w:jc w:val="both"/>
        <w:rPr>
          <w:b/>
          <w:i/>
          <w:color w:val="000000"/>
        </w:rPr>
      </w:pPr>
      <w:r>
        <w:rPr>
          <w:b/>
          <w:i/>
          <w:color w:val="000000"/>
        </w:rPr>
        <w:t>Capacity building for industry partners to enhance engagement with WIL</w:t>
      </w:r>
    </w:p>
    <w:p w14:paraId="401F8682" w14:textId="77777777" w:rsidR="00F91B43" w:rsidRDefault="008267C3" w:rsidP="00122C44">
      <w:pPr>
        <w:pStyle w:val="BodyText"/>
      </w:pPr>
      <w:r>
        <w:t xml:space="preserve">Industry plays a critical role in work-integrated learning, and determining what support is needed by industry and how it can be provided coherently in a way that works for employers is important for strengthening industry engagement in the WIL experience. </w:t>
      </w:r>
    </w:p>
    <w:p w14:paraId="14780398" w14:textId="77777777" w:rsidR="00F91B43" w:rsidRDefault="008267C3" w:rsidP="00122C44">
      <w:pPr>
        <w:pStyle w:val="BodyText"/>
      </w:pPr>
      <w:r>
        <w:t xml:space="preserve">In Australia, studies conducted in 2014 identified challenges and barriers faced by employers in their involvement in WIL, including associated cost, insufficient resources and support, staff capacity to mentor and supervise students, complexity of partnering with universities, and limited information about WIL. To assist in addressing some of the issues affecting employers, Ferns, Russell and Kay (2016) conducted an Australian Government Office of Learning and Teaching funded study to develop strategies and resources to support industry’s contributions, and strengthen their engagement with WIL. </w:t>
      </w:r>
    </w:p>
    <w:p w14:paraId="5B2E93F1" w14:textId="77777777" w:rsidR="00F91B43" w:rsidRDefault="008267C3" w:rsidP="00122C44">
      <w:pPr>
        <w:pStyle w:val="BodyText"/>
        <w:spacing w:after="120"/>
      </w:pPr>
      <w:r>
        <w:t xml:space="preserve">Through a literature analysis and survey of industry partners, </w:t>
      </w:r>
      <w:r w:rsidR="003E78D7">
        <w:t xml:space="preserve">it was </w:t>
      </w:r>
      <w:r>
        <w:t xml:space="preserve">identified that industry considered resources on the following topics to be most useful: </w:t>
      </w:r>
    </w:p>
    <w:p w14:paraId="24EE6775" w14:textId="77777777" w:rsidR="00F91B43" w:rsidRDefault="008267C3" w:rsidP="00D15DE1">
      <w:pPr>
        <w:pStyle w:val="Normal1"/>
        <w:numPr>
          <w:ilvl w:val="0"/>
          <w:numId w:val="26"/>
        </w:numPr>
        <w:pBdr>
          <w:top w:val="nil"/>
          <w:left w:val="nil"/>
          <w:bottom w:val="nil"/>
          <w:right w:val="nil"/>
          <w:between w:val="nil"/>
        </w:pBdr>
        <w:spacing w:after="0"/>
        <w:contextualSpacing/>
        <w:jc w:val="both"/>
        <w:rPr>
          <w:color w:val="000000"/>
        </w:rPr>
      </w:pPr>
      <w:r>
        <w:rPr>
          <w:color w:val="000000"/>
        </w:rPr>
        <w:t>Monitoring student progress and providing feedback to students</w:t>
      </w:r>
    </w:p>
    <w:p w14:paraId="6903C459" w14:textId="77777777" w:rsidR="00F91B43" w:rsidRDefault="008267C3" w:rsidP="00D15DE1">
      <w:pPr>
        <w:pStyle w:val="Normal1"/>
        <w:numPr>
          <w:ilvl w:val="0"/>
          <w:numId w:val="26"/>
        </w:numPr>
        <w:pBdr>
          <w:top w:val="nil"/>
          <w:left w:val="nil"/>
          <w:bottom w:val="nil"/>
          <w:right w:val="nil"/>
          <w:between w:val="nil"/>
        </w:pBdr>
        <w:spacing w:after="0"/>
        <w:contextualSpacing/>
        <w:jc w:val="both"/>
        <w:rPr>
          <w:color w:val="000000"/>
        </w:rPr>
      </w:pPr>
      <w:r>
        <w:rPr>
          <w:color w:val="000000"/>
        </w:rPr>
        <w:t>Industry</w:t>
      </w:r>
      <w:r>
        <w:t>-</w:t>
      </w:r>
      <w:r w:rsidR="003E78D7">
        <w:rPr>
          <w:color w:val="000000"/>
        </w:rPr>
        <w:t>focussed</w:t>
      </w:r>
      <w:r>
        <w:rPr>
          <w:color w:val="000000"/>
        </w:rPr>
        <w:t xml:space="preserve"> student assessment </w:t>
      </w:r>
    </w:p>
    <w:p w14:paraId="50908A29" w14:textId="77777777" w:rsidR="00F91B43" w:rsidRDefault="008267C3" w:rsidP="00D15DE1">
      <w:pPr>
        <w:pStyle w:val="Normal1"/>
        <w:numPr>
          <w:ilvl w:val="0"/>
          <w:numId w:val="26"/>
        </w:numPr>
        <w:pBdr>
          <w:top w:val="nil"/>
          <w:left w:val="nil"/>
          <w:bottom w:val="nil"/>
          <w:right w:val="nil"/>
          <w:between w:val="nil"/>
        </w:pBdr>
        <w:spacing w:after="0"/>
        <w:contextualSpacing/>
        <w:jc w:val="both"/>
        <w:rPr>
          <w:color w:val="000000"/>
        </w:rPr>
      </w:pPr>
      <w:r>
        <w:rPr>
          <w:color w:val="000000"/>
        </w:rPr>
        <w:t>Clarifying the role of industry partners</w:t>
      </w:r>
    </w:p>
    <w:p w14:paraId="54111C16" w14:textId="77777777" w:rsidR="00F91B43" w:rsidRDefault="008267C3" w:rsidP="00D15DE1">
      <w:pPr>
        <w:pStyle w:val="Normal1"/>
        <w:numPr>
          <w:ilvl w:val="0"/>
          <w:numId w:val="26"/>
        </w:numPr>
        <w:pBdr>
          <w:top w:val="nil"/>
          <w:left w:val="nil"/>
          <w:bottom w:val="nil"/>
          <w:right w:val="nil"/>
          <w:between w:val="nil"/>
        </w:pBdr>
        <w:spacing w:after="0"/>
        <w:contextualSpacing/>
        <w:jc w:val="both"/>
        <w:rPr>
          <w:color w:val="000000"/>
        </w:rPr>
      </w:pPr>
      <w:r>
        <w:rPr>
          <w:color w:val="000000"/>
        </w:rPr>
        <w:t>Negotiating partnerships with post-secondary institutions</w:t>
      </w:r>
    </w:p>
    <w:p w14:paraId="2F6F65FD" w14:textId="77777777" w:rsidR="00F91B43" w:rsidRDefault="008267C3" w:rsidP="00D15DE1">
      <w:pPr>
        <w:pStyle w:val="Normal1"/>
        <w:numPr>
          <w:ilvl w:val="0"/>
          <w:numId w:val="26"/>
        </w:numPr>
        <w:pBdr>
          <w:top w:val="nil"/>
          <w:left w:val="nil"/>
          <w:bottom w:val="nil"/>
          <w:right w:val="nil"/>
          <w:between w:val="nil"/>
        </w:pBdr>
        <w:spacing w:after="120"/>
        <w:jc w:val="both"/>
        <w:rPr>
          <w:color w:val="000000"/>
        </w:rPr>
      </w:pPr>
      <w:r>
        <w:rPr>
          <w:color w:val="000000"/>
        </w:rPr>
        <w:t>Discipline specific resources</w:t>
      </w:r>
    </w:p>
    <w:p w14:paraId="5FA86743" w14:textId="77777777" w:rsidR="00F91B43" w:rsidRDefault="008267C3" w:rsidP="00122C44">
      <w:pPr>
        <w:pStyle w:val="Normal1"/>
        <w:pBdr>
          <w:top w:val="nil"/>
          <w:left w:val="nil"/>
          <w:bottom w:val="nil"/>
          <w:right w:val="nil"/>
          <w:between w:val="nil"/>
        </w:pBdr>
        <w:spacing w:after="120"/>
        <w:jc w:val="both"/>
        <w:rPr>
          <w:color w:val="000000"/>
        </w:rPr>
      </w:pPr>
      <w:r>
        <w:rPr>
          <w:color w:val="000000"/>
        </w:rPr>
        <w:t xml:space="preserve">The researchers also conducted an environmental scan of existing WIL resources to determine which resources were available. Although a considerable amount of resources were found, the following key gaps and issues were identified: </w:t>
      </w:r>
    </w:p>
    <w:p w14:paraId="5A8E52B3" w14:textId="77777777" w:rsidR="00F91B43" w:rsidRDefault="008267C3" w:rsidP="00D15DE1">
      <w:pPr>
        <w:pStyle w:val="Normal1"/>
        <w:numPr>
          <w:ilvl w:val="0"/>
          <w:numId w:val="28"/>
        </w:numPr>
        <w:pBdr>
          <w:top w:val="nil"/>
          <w:left w:val="nil"/>
          <w:bottom w:val="nil"/>
          <w:right w:val="nil"/>
          <w:between w:val="nil"/>
        </w:pBdr>
        <w:spacing w:after="0"/>
        <w:contextualSpacing/>
        <w:jc w:val="both"/>
        <w:rPr>
          <w:color w:val="000000"/>
        </w:rPr>
      </w:pPr>
      <w:r>
        <w:rPr>
          <w:color w:val="000000"/>
        </w:rPr>
        <w:t>Resources resided in many different locations making them difficult to locate</w:t>
      </w:r>
      <w:r w:rsidR="003E78D7">
        <w:rPr>
          <w:color w:val="000000"/>
        </w:rPr>
        <w:t>.</w:t>
      </w:r>
      <w:r>
        <w:rPr>
          <w:color w:val="000000"/>
        </w:rPr>
        <w:t xml:space="preserve"> </w:t>
      </w:r>
    </w:p>
    <w:p w14:paraId="2107834F" w14:textId="77777777" w:rsidR="00F91B43" w:rsidRDefault="008267C3" w:rsidP="00D15DE1">
      <w:pPr>
        <w:pStyle w:val="Normal1"/>
        <w:numPr>
          <w:ilvl w:val="0"/>
          <w:numId w:val="28"/>
        </w:numPr>
        <w:pBdr>
          <w:top w:val="nil"/>
          <w:left w:val="nil"/>
          <w:bottom w:val="nil"/>
          <w:right w:val="nil"/>
          <w:between w:val="nil"/>
        </w:pBdr>
        <w:spacing w:after="0"/>
        <w:contextualSpacing/>
        <w:jc w:val="both"/>
        <w:rPr>
          <w:color w:val="000000"/>
        </w:rPr>
      </w:pPr>
      <w:r>
        <w:rPr>
          <w:color w:val="000000"/>
        </w:rPr>
        <w:t>There was limited information available for industry partners on student supervision and assessment, and partnerships with post-secondary institutions</w:t>
      </w:r>
      <w:r w:rsidR="003E78D7">
        <w:rPr>
          <w:color w:val="000000"/>
        </w:rPr>
        <w:t>.</w:t>
      </w:r>
    </w:p>
    <w:p w14:paraId="38451EDA" w14:textId="77777777" w:rsidR="00F91B43" w:rsidRDefault="008267C3" w:rsidP="00D15DE1">
      <w:pPr>
        <w:pStyle w:val="Normal1"/>
        <w:numPr>
          <w:ilvl w:val="0"/>
          <w:numId w:val="28"/>
        </w:numPr>
        <w:pBdr>
          <w:top w:val="nil"/>
          <w:left w:val="nil"/>
          <w:bottom w:val="nil"/>
          <w:right w:val="nil"/>
          <w:between w:val="nil"/>
        </w:pBdr>
        <w:spacing w:after="0"/>
        <w:contextualSpacing/>
        <w:jc w:val="both"/>
        <w:rPr>
          <w:color w:val="000000"/>
        </w:rPr>
      </w:pPr>
      <w:r>
        <w:rPr>
          <w:color w:val="000000"/>
        </w:rPr>
        <w:t>The majority of resources were large documents, in report or guide format, in which information was immersed in content and challenging to source</w:t>
      </w:r>
      <w:r w:rsidR="003E78D7">
        <w:rPr>
          <w:color w:val="000000"/>
        </w:rPr>
        <w:t>.</w:t>
      </w:r>
    </w:p>
    <w:p w14:paraId="4EBD7107" w14:textId="77777777" w:rsidR="00F91B43" w:rsidRDefault="008267C3" w:rsidP="00122C44">
      <w:pPr>
        <w:pStyle w:val="Normal1"/>
        <w:numPr>
          <w:ilvl w:val="0"/>
          <w:numId w:val="28"/>
        </w:numPr>
        <w:pBdr>
          <w:top w:val="nil"/>
          <w:left w:val="nil"/>
          <w:bottom w:val="nil"/>
          <w:right w:val="nil"/>
          <w:between w:val="nil"/>
        </w:pBdr>
        <w:spacing w:after="120"/>
        <w:ind w:left="714" w:hanging="357"/>
        <w:jc w:val="both"/>
        <w:rPr>
          <w:color w:val="000000"/>
        </w:rPr>
      </w:pPr>
      <w:r>
        <w:rPr>
          <w:color w:val="000000"/>
        </w:rPr>
        <w:t>There was a lack of case studies and examples of innovative models of WIL</w:t>
      </w:r>
      <w:r w:rsidR="003E78D7">
        <w:rPr>
          <w:color w:val="000000"/>
        </w:rPr>
        <w:t>.</w:t>
      </w:r>
    </w:p>
    <w:p w14:paraId="54A5FF98" w14:textId="77777777" w:rsidR="00F91B43" w:rsidRDefault="008267C3" w:rsidP="00122C44">
      <w:pPr>
        <w:pStyle w:val="BodyText"/>
      </w:pPr>
      <w:r>
        <w:t xml:space="preserve">A survey was conducted as part of the study, and respondents were invited to rank their preferred mode of distribution for resources. Respondents identified a website portal as their preferred option, followed by a combination of face-to-face workshops and online materials. </w:t>
      </w:r>
    </w:p>
    <w:p w14:paraId="7F4B5331" w14:textId="77777777" w:rsidR="00F91B43" w:rsidRDefault="008267C3" w:rsidP="00122C44">
      <w:pPr>
        <w:pStyle w:val="BodyText"/>
      </w:pPr>
      <w:r>
        <w:t xml:space="preserve">The findings from this study show that industry require clarity and guidance around their roles and responsibilities, due to the high value placed on resources focused on monitoring student progress through assessment, supervision and feedback, and establishing and maintaining relationships with post-secondary institutions. As a result, the study’s authors determined that host organizations for WIL students need support to provide meaningful feedback to students; to </w:t>
      </w:r>
      <w:r w:rsidR="00B773C0">
        <w:t>design</w:t>
      </w:r>
      <w:r>
        <w:t xml:space="preserve"> appropriate assessment tasks; and to implement supervision approaches that reflect their discipline and industry expertise. </w:t>
      </w:r>
    </w:p>
    <w:p w14:paraId="07C36B00" w14:textId="77777777" w:rsidR="00F91B43" w:rsidRDefault="008267C3" w:rsidP="00122C44">
      <w:pPr>
        <w:pStyle w:val="BodyText"/>
        <w:spacing w:after="360"/>
      </w:pPr>
      <w:r>
        <w:t xml:space="preserve">Following the study’s completion and using its findings, partners in Australia’s National WIL strategy implemented a project to develop a website portal for all WIL stakeholders to access current resources (see http://acen.edu.au/wil-impact/). The website aimed to make resources more user-friendly and compatible to the needs of industry. A communications strategy was developed in conjunction to the website to enable broad engagement nationally, particularly from industry partners. </w:t>
      </w:r>
    </w:p>
    <w:p w14:paraId="6EEC9D90" w14:textId="77777777" w:rsidR="00F91B43" w:rsidRDefault="008267C3" w:rsidP="004077DD">
      <w:pPr>
        <w:pStyle w:val="Normal1"/>
        <w:numPr>
          <w:ilvl w:val="0"/>
          <w:numId w:val="29"/>
        </w:numPr>
        <w:pBdr>
          <w:top w:val="nil"/>
          <w:left w:val="nil"/>
          <w:bottom w:val="nil"/>
          <w:right w:val="nil"/>
          <w:between w:val="nil"/>
        </w:pBdr>
        <w:spacing w:after="0"/>
        <w:ind w:left="425" w:hanging="425"/>
        <w:jc w:val="both"/>
        <w:rPr>
          <w:b/>
          <w:i/>
          <w:color w:val="000000"/>
        </w:rPr>
      </w:pPr>
      <w:r>
        <w:rPr>
          <w:b/>
          <w:i/>
          <w:color w:val="000000"/>
        </w:rPr>
        <w:t>Pathways to dreaming: Supporting the educational aspirations of Aboriginal and Torres Straits Islander students through WIL</w:t>
      </w:r>
    </w:p>
    <w:p w14:paraId="066590DB" w14:textId="77777777" w:rsidR="00F91B43" w:rsidRDefault="008267C3" w:rsidP="00122C44">
      <w:pPr>
        <w:pStyle w:val="BodyText"/>
      </w:pPr>
      <w:r>
        <w:t xml:space="preserve">Pathways to Dreaming is a program that provides university students with personal and professional development while building the educational aspirations of high-school Aboriginal and Torres Strait Islander students. Run under Western Sydney University’s School Engagement program, university students who are employed and/or who mentor in the program grow their interpersonal and leadership skills while gaining awareness of the barriers Aboriginal and Torres Strait Islander people may experience in education. At the same time, the program supports high school Aboriginal and Torres Strait Islander students to define and achieve educational and personal goals, and to deepen their connections to Aboriginal culture and knowledge. </w:t>
      </w:r>
    </w:p>
    <w:p w14:paraId="0172D8A3" w14:textId="77777777" w:rsidR="00F91B43" w:rsidRDefault="008267C3" w:rsidP="00122C44">
      <w:pPr>
        <w:pStyle w:val="BodyText"/>
      </w:pPr>
      <w:r>
        <w:t xml:space="preserve">As in Canada, Aboriginal and Torres Strait Islander students have lower high school completion rates and lower post-secondary education participation rates than non-Aboriginal students. The Western Sydney University is committed to advancing Aboriginal and Torres Strait Islanders’ futures through the Pathways to Dreaming Program, working in collaboration with Aboriginal leaders and communities. </w:t>
      </w:r>
    </w:p>
    <w:p w14:paraId="2DED85BC" w14:textId="77777777" w:rsidR="00F91B43" w:rsidRDefault="008267C3" w:rsidP="00122C44">
      <w:pPr>
        <w:pStyle w:val="BodyText"/>
      </w:pPr>
      <w:r>
        <w:t xml:space="preserve">University student mentors in the program support high school student mentees to broaden their horizons, grow their capacities and confidence, and achieve educational, personal and career goals. Mentoring opportunities range in scale and focus depending on the year group, but include a visit to a school at least once a month. Several mentors visit a school at the same time with university staff, and mentoring takes place in the context of structured learning activities, and as part of project group discussions. The program supports Aboriginal and Torres Strait Islander high school students to explore opportunities and make informed decisions about their futures. </w:t>
      </w:r>
    </w:p>
    <w:p w14:paraId="0C3050B2" w14:textId="77777777" w:rsidR="00F91B43" w:rsidRDefault="008267C3" w:rsidP="00122C44">
      <w:pPr>
        <w:pStyle w:val="BodyText"/>
      </w:pPr>
      <w:r>
        <w:t xml:space="preserve">Mentors can be from any Western Sydney University degree program, and Aboriginal or non-Aboriginal. Mentors play an essential role in the success of the program and assist in addressing the barriers faced by Aboriginal and Torres Strait Islander students. Mentors receive training in mentoring, cultural awareness and working with youth. </w:t>
      </w:r>
    </w:p>
    <w:p w14:paraId="34948203" w14:textId="28E1F754" w:rsidR="00F91B43" w:rsidRDefault="008267C3" w:rsidP="00122C44">
      <w:pPr>
        <w:pStyle w:val="BodyText"/>
      </w:pPr>
      <w:r>
        <w:t xml:space="preserve">Pathways to Dreaming began as a pilot in 2009 with 16 students from two schools. In 2017 it had grown to 553 students from 30 schools. Once students join the program they can continue in it until they leave school. The cohort at each school designs and implements a group project related to Aboriginal culture, with mentors facilitating. Once a term, school students visit a university campus or alternative site for a day of engaged learning. Aboriginal Elders and educators are closely involved in the program, and it is strongly </w:t>
      </w:r>
      <w:r w:rsidRPr="0033251D">
        <w:t>supported by academic and professional staff from across the university who lead on-campus activities (</w:t>
      </w:r>
      <w:r w:rsidR="0033251D">
        <w:t>Innovative Research Universities</w:t>
      </w:r>
      <w:r w:rsidR="009C5EE4">
        <w:t>, n.</w:t>
      </w:r>
      <w:r w:rsidRPr="0033251D">
        <w:t>d.).</w:t>
      </w:r>
      <w:r>
        <w:t xml:space="preserve"> </w:t>
      </w:r>
    </w:p>
    <w:p w14:paraId="7FF37824" w14:textId="3A5508F8" w:rsidR="00D15DE1" w:rsidRDefault="008267C3" w:rsidP="00122C44">
      <w:pPr>
        <w:pStyle w:val="Normal1"/>
        <w:pBdr>
          <w:top w:val="nil"/>
          <w:left w:val="nil"/>
          <w:bottom w:val="nil"/>
          <w:right w:val="nil"/>
          <w:between w:val="nil"/>
        </w:pBdr>
        <w:spacing w:after="60"/>
        <w:jc w:val="both"/>
        <w:rPr>
          <w:b/>
          <w:color w:val="000000"/>
        </w:rPr>
      </w:pPr>
      <w:r>
        <w:rPr>
          <w:b/>
          <w:color w:val="000000"/>
        </w:rPr>
        <w:t xml:space="preserve">Impact of the initiative includes: </w:t>
      </w:r>
    </w:p>
    <w:p w14:paraId="50A0D410" w14:textId="7A573E06" w:rsidR="00F91B43" w:rsidRPr="00D15DE1" w:rsidRDefault="008267C3" w:rsidP="00122C44">
      <w:pPr>
        <w:pStyle w:val="BodyText"/>
        <w:rPr>
          <w:b/>
        </w:rPr>
      </w:pPr>
      <w:r>
        <w:t>School students have gained greater self-esteem, increased their skills, pursued more ambitious educational goals, built their knowledge of Aboriginal and Torres Strait Islander culture and history, felt more pride about their identity, and established networks. </w:t>
      </w:r>
    </w:p>
    <w:p w14:paraId="44F444A0" w14:textId="77777777" w:rsidR="00F91B43" w:rsidRDefault="008267C3" w:rsidP="00122C44">
      <w:pPr>
        <w:pStyle w:val="BodyText"/>
      </w:pPr>
      <w:r>
        <w:t>In the past three years the percentage of the year 12 cohort transitioning to post-school study has ranged between 45 and 55 per cent. </w:t>
      </w:r>
    </w:p>
    <w:p w14:paraId="2FE629F2" w14:textId="4FFB880D" w:rsidR="008F3BBD" w:rsidRDefault="008267C3" w:rsidP="00122C44">
      <w:pPr>
        <w:pStyle w:val="BodyText"/>
      </w:pPr>
      <w:r>
        <w:t>Collaborative relationships have been established with participating schools and Aboriginal Education staff in the NSW Department of Education, leading to partnerships in other activities.</w:t>
      </w:r>
    </w:p>
    <w:p w14:paraId="10C299BF" w14:textId="1490EC49" w:rsidR="008F3BBD" w:rsidRPr="008F3BBD" w:rsidRDefault="008F3BBD" w:rsidP="006A688E">
      <w:pPr>
        <w:pStyle w:val="Normal1"/>
        <w:pBdr>
          <w:top w:val="nil"/>
          <w:left w:val="nil"/>
          <w:bottom w:val="nil"/>
          <w:right w:val="nil"/>
          <w:between w:val="nil"/>
        </w:pBdr>
        <w:spacing w:after="60"/>
        <w:jc w:val="both"/>
        <w:rPr>
          <w:b/>
          <w:color w:val="000000"/>
        </w:rPr>
      </w:pPr>
      <w:r w:rsidRPr="008F3BBD">
        <w:rPr>
          <w:b/>
          <w:color w:val="000000"/>
        </w:rPr>
        <w:t xml:space="preserve">Mentors have said: </w:t>
      </w:r>
    </w:p>
    <w:p w14:paraId="32DA00B7" w14:textId="7F9F2AF8" w:rsidR="00D15DE1" w:rsidRPr="008F3BBD" w:rsidRDefault="00D15DE1" w:rsidP="00D45DD0">
      <w:pPr>
        <w:pStyle w:val="Normal1"/>
        <w:numPr>
          <w:ilvl w:val="0"/>
          <w:numId w:val="29"/>
        </w:numPr>
        <w:pBdr>
          <w:top w:val="nil"/>
          <w:left w:val="nil"/>
          <w:bottom w:val="nil"/>
          <w:right w:val="nil"/>
          <w:between w:val="nil"/>
        </w:pBdr>
        <w:spacing w:after="60"/>
        <w:ind w:left="426" w:hanging="426"/>
        <w:rPr>
          <w:color w:val="000000"/>
        </w:rPr>
      </w:pPr>
      <w:r w:rsidRPr="008F3BBD">
        <w:rPr>
          <w:color w:val="000000"/>
        </w:rPr>
        <w:t>“My involvement was a highlight of my year....it was such a pleasure to interact with a terrific group of students and mentors. The training I received in mentoring combined with education surrounding Aboriginal culture has greatly enhanced the overall value of my degree”.</w:t>
      </w:r>
    </w:p>
    <w:p w14:paraId="705A3F6D" w14:textId="77777777" w:rsidR="00D15DE1" w:rsidRPr="008F3BBD" w:rsidRDefault="00D15DE1" w:rsidP="00D45DD0">
      <w:pPr>
        <w:pStyle w:val="Normal1"/>
        <w:numPr>
          <w:ilvl w:val="0"/>
          <w:numId w:val="29"/>
        </w:numPr>
        <w:pBdr>
          <w:top w:val="nil"/>
          <w:left w:val="nil"/>
          <w:bottom w:val="nil"/>
          <w:right w:val="nil"/>
          <w:between w:val="nil"/>
        </w:pBdr>
        <w:spacing w:after="60"/>
        <w:ind w:left="426" w:hanging="426"/>
        <w:rPr>
          <w:color w:val="000000"/>
        </w:rPr>
      </w:pPr>
      <w:r w:rsidRPr="008F3BBD">
        <w:rPr>
          <w:color w:val="000000"/>
        </w:rPr>
        <w:t>“With this initial experience, I am inspired to continue working with the Indigenous community both as a volunteer and in my professional career...(it) instilled the belief I could make an impact on and help someone else as I could see the result of my mentoring first hand”.</w:t>
      </w:r>
    </w:p>
    <w:p w14:paraId="51402C5C" w14:textId="77777777" w:rsidR="00D15DE1" w:rsidRPr="008F3BBD" w:rsidRDefault="00D15DE1" w:rsidP="00D45DD0">
      <w:pPr>
        <w:pStyle w:val="Normal1"/>
        <w:numPr>
          <w:ilvl w:val="0"/>
          <w:numId w:val="29"/>
        </w:numPr>
        <w:pBdr>
          <w:top w:val="nil"/>
          <w:left w:val="nil"/>
          <w:bottom w:val="nil"/>
          <w:right w:val="nil"/>
          <w:between w:val="nil"/>
        </w:pBdr>
        <w:spacing w:after="60"/>
        <w:ind w:left="426" w:hanging="426"/>
        <w:rPr>
          <w:color w:val="000000"/>
        </w:rPr>
      </w:pPr>
      <w:r w:rsidRPr="008F3BBD">
        <w:rPr>
          <w:color w:val="000000"/>
        </w:rPr>
        <w:t>“Great program for developing negotiation and communication skills”</w:t>
      </w:r>
    </w:p>
    <w:p w14:paraId="25F2B7B0" w14:textId="77777777" w:rsidR="00D15DE1" w:rsidRPr="008F3BBD" w:rsidRDefault="00D15DE1" w:rsidP="00D45DD0">
      <w:pPr>
        <w:pStyle w:val="Normal1"/>
        <w:numPr>
          <w:ilvl w:val="0"/>
          <w:numId w:val="29"/>
        </w:numPr>
        <w:pBdr>
          <w:top w:val="nil"/>
          <w:left w:val="nil"/>
          <w:bottom w:val="nil"/>
          <w:right w:val="nil"/>
          <w:between w:val="nil"/>
        </w:pBdr>
        <w:spacing w:after="60"/>
        <w:ind w:left="426" w:hanging="426"/>
        <w:rPr>
          <w:color w:val="000000"/>
        </w:rPr>
      </w:pPr>
      <w:r w:rsidRPr="008F3BBD">
        <w:rPr>
          <w:color w:val="000000"/>
        </w:rPr>
        <w:t>“I gained interpersonal skills including active listening and how to build rapport, and I became more confident in relating to people”</w:t>
      </w:r>
    </w:p>
    <w:p w14:paraId="4552187F" w14:textId="2698D931" w:rsidR="006A688E" w:rsidRDefault="00D15DE1" w:rsidP="001C7A45">
      <w:pPr>
        <w:pStyle w:val="Normal1"/>
        <w:numPr>
          <w:ilvl w:val="0"/>
          <w:numId w:val="29"/>
        </w:numPr>
        <w:pBdr>
          <w:top w:val="nil"/>
          <w:left w:val="nil"/>
          <w:bottom w:val="nil"/>
          <w:right w:val="nil"/>
          <w:between w:val="nil"/>
        </w:pBdr>
        <w:spacing w:after="600"/>
        <w:ind w:left="425" w:hanging="425"/>
        <w:rPr>
          <w:color w:val="000000"/>
        </w:rPr>
      </w:pPr>
      <w:r w:rsidRPr="008F3BBD">
        <w:rPr>
          <w:color w:val="000000"/>
        </w:rPr>
        <w:t>“I learnt to be able to connect with young people”</w:t>
      </w:r>
    </w:p>
    <w:p w14:paraId="24E0A065" w14:textId="6825423C" w:rsidR="00F91B43" w:rsidRPr="006A688E" w:rsidRDefault="008267C3" w:rsidP="006A688E">
      <w:pPr>
        <w:pStyle w:val="HeadingE1"/>
        <w:spacing w:after="240"/>
        <w:rPr>
          <w:color w:val="000000"/>
        </w:rPr>
      </w:pPr>
      <w:bookmarkStart w:id="16" w:name="_Toc403133206"/>
      <w:r w:rsidRPr="006A688E">
        <w:t>Analysis and recommendations</w:t>
      </w:r>
      <w:bookmarkEnd w:id="16"/>
    </w:p>
    <w:p w14:paraId="7461DFCC" w14:textId="77777777" w:rsidR="00A71C05" w:rsidRPr="006A688E" w:rsidRDefault="00A71C05" w:rsidP="006A688E">
      <w:pPr>
        <w:pStyle w:val="HeadingE3"/>
      </w:pPr>
      <w:bookmarkStart w:id="17" w:name="_Toc403133207"/>
      <w:r w:rsidRPr="006A688E">
        <w:t>WIL participation: Employers</w:t>
      </w:r>
      <w:bookmarkEnd w:id="17"/>
      <w:r w:rsidRPr="006A688E">
        <w:t xml:space="preserve"> </w:t>
      </w:r>
    </w:p>
    <w:p w14:paraId="69D38F64" w14:textId="77777777" w:rsidR="00A71C05" w:rsidRDefault="00A71C05" w:rsidP="00122C44">
      <w:pPr>
        <w:pStyle w:val="BodyText"/>
      </w:pPr>
      <w:r>
        <w:t xml:space="preserve">Employers can receive significant benefits to hiring WIL students and are motivated to participate in WIL for several reasons, including to identify and pre-screen future candidates; to fill labour shortages; and as a form of corporate social responsibility. However, while employer interest in WIL is growing in Canada, and B.C. business groups are calling for more WIL opportunities, smaller employers in particular face challenges to participating in WIL. Smaller employers are more severely affected by the associated costs of participation than larger employers, both with respect to hiring costs, and time and resources required to train and supervise students. The limited payroll of smaller employers not only restricts their ability to provide work placements, but can also affect their ability to hire students permanently when their placement ends. Further barriers to employer participation in WIL include post-secondary institutional processes and expectations, and short WIL placement length. </w:t>
      </w:r>
    </w:p>
    <w:p w14:paraId="7430F107" w14:textId="77777777" w:rsidR="00A71C05" w:rsidRDefault="00A71C05" w:rsidP="00122C44">
      <w:pPr>
        <w:pStyle w:val="BodyText"/>
      </w:pPr>
      <w:r>
        <w:t>Strategies identified to mitigate the challenges employers experience in participating in WIL include implementation of financial hiring incentives, and mechanisms that ease the administrative and operational burden for employers. A 2014 survey of Canadian small and medium sized enterprises identified that employers would create more WIL opportunities if given access to incentives such as vouchers or tax credits (Universities Canada, 2014). Ontario’s Highly Skilled Workforce Panel on the other hand noted the importance of intermediaries (such as industry associations or NGOs) to business participating in WIL.</w:t>
      </w:r>
    </w:p>
    <w:p w14:paraId="149B837F" w14:textId="77777777" w:rsidR="00A71C05" w:rsidRDefault="00A71C05" w:rsidP="00122C44">
      <w:pPr>
        <w:pStyle w:val="BodyText"/>
      </w:pPr>
      <w:r>
        <w:t xml:space="preserve">In Australia, similar barriers to employer participation have been identified, and a study by Ferns, Russell and Kay (2016) identified the type and content of resources that would be most beneficial to industry in strengthening their engagement in WIL. The study’s findings showed that industry require clarity and guidance around their roles and responsibilities, and that a website portal with user-friendly resources would help to meet industry needs. </w:t>
      </w:r>
    </w:p>
    <w:p w14:paraId="2D104C9F" w14:textId="77777777" w:rsidR="00A71C05" w:rsidRDefault="00A71C05" w:rsidP="00122C44">
      <w:pPr>
        <w:pStyle w:val="BodyText"/>
      </w:pPr>
      <w:r>
        <w:t xml:space="preserve">Across Canada, a range of hiring incentives have been implemented provincially to support employer participation in WIL, including grant funding (in Ontario, B.C. and New Brunswick), tax credits (in Ontario, B.C., Quebec and Manitoba), and wage subsidies (in Newfoundland and Labrador, and Nova Scotia). While tax credits have been a popular choice with three provinces selecting this measure, Ontario is signalling a move away from this option in implementing the Career Kick-Start Strategy and making changes to the Apprenticeship Training Tax Credit. A potential contributing factor to this change may lie in the dearth of data that exists in Ontario on the number and types of WIL placements over time, creating a challenge in evaluating the impact of existing tax measures, or designing and estimating the cost of any new ones (Turcotte, Nichols &amp; Philipps, 2016). </w:t>
      </w:r>
    </w:p>
    <w:p w14:paraId="65582D0D" w14:textId="77777777" w:rsidR="00A71C05" w:rsidRDefault="00A71C05" w:rsidP="00122C44">
      <w:pPr>
        <w:pStyle w:val="BodyText"/>
      </w:pPr>
      <w:r>
        <w:t xml:space="preserve">In addition to a lack of data, a common criticism of tax expenditures among tax policy analysts is the lack of transparency regarding their costs with respect to foregone revenue. Unlike direct spending, that is documented in the government’s annual expenditure budget, the impact of tax expenditures tends to be buried in a lower figure for overall revenues collected (Turcotte, Nichols &amp; Philipps, 2016). </w:t>
      </w:r>
    </w:p>
    <w:p w14:paraId="02C53BE5" w14:textId="77777777" w:rsidR="00A71C05" w:rsidRDefault="00A71C05" w:rsidP="00122C44">
      <w:pPr>
        <w:pStyle w:val="BodyText"/>
      </w:pPr>
      <w:r>
        <w:t xml:space="preserve">Another key perceived disadvantage to tax credits, especially to small and medium sized enterprises with limited resources, is the ‘back-end loaded’ nature of the measure. Unlike direct funding models that offer immediate ‘front-end loaded’ benefits, the benefits of tax credits are not received until the following financial year. Additionally, the benefits of tax credits are restricted to entities required to file a tax return, preventing their use as a hiring incentive for non-profits or other organizations. </w:t>
      </w:r>
    </w:p>
    <w:p w14:paraId="63977072" w14:textId="77777777" w:rsidR="00A71C05" w:rsidRPr="004077DD" w:rsidRDefault="00A71C05" w:rsidP="00122C44">
      <w:pPr>
        <w:pStyle w:val="BodyText"/>
      </w:pPr>
      <w:r>
        <w:t xml:space="preserve">B.C.’s provision of hiring incentives to encourage employer WIL participation is limited to employers hiring apprentices, and small businesses and organizations hiring for technology roles. Under B.C.’s tight labour market conditions, SMEs lack financial resources to attract experienced and skilled employees, and find the cost of hiring WIL students restrictive. </w:t>
      </w:r>
    </w:p>
    <w:p w14:paraId="43C19E5B" w14:textId="77777777" w:rsidR="00A71C05" w:rsidRPr="006A688E" w:rsidRDefault="00A71C05" w:rsidP="006A688E">
      <w:pPr>
        <w:pStyle w:val="HeadingE3"/>
        <w:rPr>
          <w:sz w:val="22"/>
        </w:rPr>
      </w:pPr>
      <w:r w:rsidRPr="006A688E">
        <w:rPr>
          <w:sz w:val="22"/>
        </w:rPr>
        <w:t>Recommendations</w:t>
      </w:r>
    </w:p>
    <w:p w14:paraId="75E4EAD6" w14:textId="77777777" w:rsidR="00A71C05" w:rsidRDefault="00A71C05" w:rsidP="00555518">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 xml:space="preserve">Increase provincial funding to support SME WIL engagement </w:t>
      </w:r>
    </w:p>
    <w:p w14:paraId="6A121584" w14:textId="77777777" w:rsidR="00A71C05" w:rsidRDefault="00A71C05" w:rsidP="00A71C05">
      <w:pPr>
        <w:pStyle w:val="Normal1"/>
        <w:widowControl w:val="0"/>
        <w:pBdr>
          <w:top w:val="nil"/>
          <w:left w:val="nil"/>
          <w:bottom w:val="nil"/>
          <w:right w:val="nil"/>
          <w:between w:val="nil"/>
        </w:pBdr>
        <w:spacing w:after="240"/>
        <w:ind w:left="426"/>
        <w:jc w:val="both"/>
        <w:rPr>
          <w:color w:val="000000"/>
        </w:rPr>
      </w:pPr>
      <w:r>
        <w:rPr>
          <w:color w:val="000000"/>
        </w:rPr>
        <w:t xml:space="preserve">Expand the B.C. Tech Co-op Grant to offer funding to SMEs beyond the technology sector. </w:t>
      </w:r>
    </w:p>
    <w:p w14:paraId="52D059DF" w14:textId="77777777" w:rsidR="00A71C05" w:rsidRDefault="00A71C05" w:rsidP="00555518">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Promote collaboration among stakeholders</w:t>
      </w:r>
    </w:p>
    <w:p w14:paraId="1E148F97" w14:textId="77777777" w:rsidR="00A71C05" w:rsidRDefault="00A71C05" w:rsidP="00A71C05">
      <w:pPr>
        <w:pStyle w:val="Normal1"/>
        <w:widowControl w:val="0"/>
        <w:pBdr>
          <w:top w:val="nil"/>
          <w:left w:val="nil"/>
          <w:bottom w:val="nil"/>
          <w:right w:val="nil"/>
          <w:between w:val="nil"/>
        </w:pBdr>
        <w:spacing w:after="240"/>
        <w:ind w:left="426"/>
        <w:jc w:val="both"/>
        <w:rPr>
          <w:color w:val="000000"/>
        </w:rPr>
      </w:pPr>
      <w:r>
        <w:rPr>
          <w:color w:val="000000"/>
        </w:rPr>
        <w:t xml:space="preserve">Implement a measure to promote the role of intermediaries (such as industry associations or NGOs) in supporting employer participation in WIL. (The Employer and Regional Partnerships program under Ontario’s Career Kick-Start Strategy may offer a reference base). </w:t>
      </w:r>
    </w:p>
    <w:p w14:paraId="15D54396" w14:textId="77777777" w:rsidR="00A71C05" w:rsidRDefault="00A71C05" w:rsidP="00555518">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Mitigate administrative and operational barriers employers face to WIL engagement</w:t>
      </w:r>
    </w:p>
    <w:p w14:paraId="318EA005" w14:textId="77777777" w:rsidR="00A71C05" w:rsidRPr="00C86A0C" w:rsidRDefault="00A71C05" w:rsidP="00122C44">
      <w:pPr>
        <w:pStyle w:val="Normal1"/>
        <w:widowControl w:val="0"/>
        <w:pBdr>
          <w:top w:val="nil"/>
          <w:left w:val="nil"/>
          <w:bottom w:val="nil"/>
          <w:right w:val="nil"/>
          <w:between w:val="nil"/>
        </w:pBdr>
        <w:spacing w:after="480"/>
        <w:ind w:left="425"/>
        <w:jc w:val="both"/>
        <w:rPr>
          <w:color w:val="000000"/>
        </w:rPr>
      </w:pPr>
      <w:r>
        <w:rPr>
          <w:color w:val="000000"/>
        </w:rPr>
        <w:t>Implement a project to assess</w:t>
      </w:r>
      <w:r>
        <w:rPr>
          <w:color w:val="FF9900"/>
        </w:rPr>
        <w:t xml:space="preserve"> </w:t>
      </w:r>
      <w:r>
        <w:t>current knowledge,</w:t>
      </w:r>
      <w:r>
        <w:rPr>
          <w:color w:val="000000"/>
        </w:rPr>
        <w:t xml:space="preserve"> develop</w:t>
      </w:r>
      <w:r>
        <w:rPr>
          <w:color w:val="FF9900"/>
        </w:rPr>
        <w:t xml:space="preserve"> </w:t>
      </w:r>
      <w:r>
        <w:t>best practices</w:t>
      </w:r>
      <w:r>
        <w:rPr>
          <w:color w:val="000000"/>
        </w:rPr>
        <w:t xml:space="preserve">, and disseminate user-friendly resources to meet the needs of employers participating in WIL. (Ferns, Russell and Kay’s (2016) Australian study may offer a reference base). </w:t>
      </w:r>
    </w:p>
    <w:p w14:paraId="479DA114" w14:textId="1B597198" w:rsidR="00A71C05" w:rsidRPr="008727A1" w:rsidRDefault="00A71C05" w:rsidP="008727A1">
      <w:pPr>
        <w:pStyle w:val="HeadingE3"/>
      </w:pPr>
      <w:bookmarkStart w:id="18" w:name="_Toc403133208"/>
      <w:r w:rsidRPr="008727A1">
        <w:t>WIL participation: Students with disabilities</w:t>
      </w:r>
      <w:bookmarkEnd w:id="18"/>
    </w:p>
    <w:p w14:paraId="05395E20" w14:textId="77777777" w:rsidR="00A71C05" w:rsidRDefault="00A71C05" w:rsidP="00122C44">
      <w:pPr>
        <w:pStyle w:val="BodyText"/>
      </w:pPr>
      <w:r>
        <w:t xml:space="preserve">Despite a growing proportion of Canadians with disabilities attaining a post-secondary education, the transition from school to the workforce may be more challenging for graduates with disabilities. In addition, post-secondary graduates with disabilities may find it harder to obtain meaningful employment aligned to their career interest and skill-level due to structural, attitudinal, and systemic issues experienced when seeking employment. Everyone has an equal right to employment, and these findings indicate a need for measures to ensure WIL is accessible to all students. </w:t>
      </w:r>
    </w:p>
    <w:p w14:paraId="04DCADA6" w14:textId="77777777" w:rsidR="00A71C05" w:rsidRDefault="00A71C05" w:rsidP="00122C44">
      <w:pPr>
        <w:pStyle w:val="BodyText"/>
      </w:pPr>
      <w:r>
        <w:t xml:space="preserve">While relatively little research has been conducted in relation to students with disabilities and WIL, limited findings indicate students with disabilities face barriers to WIL that mirror their experience in the labour market. Pardo &amp; Tomlinson (2000) note several barriers to students participating in WIL including limited placement options; prejudiced attitudes that make placement hosts reluctant to select students; negative assumptions about student capability; and poor quality experiences due to inadequate accommodations while on placement. </w:t>
      </w:r>
    </w:p>
    <w:p w14:paraId="20FE5960" w14:textId="77777777" w:rsidR="00A71C05" w:rsidRDefault="00A71C05" w:rsidP="00122C44">
      <w:pPr>
        <w:pStyle w:val="BodyText"/>
      </w:pPr>
      <w:r>
        <w:t xml:space="preserve">Further to these barriers, studies indicate ‘self-disclosure of disabilities’ as an area of concern that hampers the ability of post-secondary institutions and employers to adequately provide accommodations to students while on WIL placements (Easterbrook et al., 2015; Turcotte, Nichols, &amp; Philipps, 2016). Students may choose not to disclose a disability as a way of managing perceptions of their capabilities, and institutions are limited by their ability to collect students’ consent to provide support in the workplace. </w:t>
      </w:r>
    </w:p>
    <w:p w14:paraId="58B787D3" w14:textId="77777777" w:rsidR="00A71C05" w:rsidRDefault="00A71C05" w:rsidP="00122C44">
      <w:pPr>
        <w:pStyle w:val="BodyText"/>
      </w:pPr>
      <w:r>
        <w:t xml:space="preserve">Strategies identified to decrease the barriers students with disabilities experience in participating in WIL focus on enhancing the communication strategies within post-secondary institutions, and among post-secondary institutions, students and employers; as well as increasing the capacity of post-secondary institutions to identify suitable accommodations. The David C. Onley Initiative </w:t>
      </w:r>
      <w:r>
        <w:rPr>
          <w:color w:val="111111"/>
        </w:rPr>
        <w:t>for Employment and Enterprise Development</w:t>
      </w:r>
      <w:r>
        <w:t xml:space="preserve"> led by Carlton University offers an example of a promising demonstrational project that aims to increase the capacity of post-secondary student services to support employability and career development of students with disabilities, and the capacity of employers to hire and support students and graduates with disabilities. As the Onley Initiative indicates, students with disabilities seeking accommodations in the workplace require additional support from post-secondary institutions. This equates to the need for a ‘higher-touch service,’ and in turn, a higher funding model. </w:t>
      </w:r>
    </w:p>
    <w:p w14:paraId="13E27C3A" w14:textId="77777777" w:rsidR="00A71C05" w:rsidRDefault="00A71C05" w:rsidP="00122C44">
      <w:pPr>
        <w:pStyle w:val="BodyText"/>
      </w:pPr>
      <w:r>
        <w:t xml:space="preserve">While these strategies focus on the role post-secondary institutions can play, hiring incentives for employers may also assist in encouraging increased WIL participation of students with disabilities. At the federal level, the Student Work Placement Program offers an enhanced wage subsidy for employers hiring students with disabilities, and similar mechanisms exist in Ontario, Quebec and B.C. (under the Apprenticeship Training Tax Credit). Although the Apprenticeship Training Tax Credit in B.C. offers a funding enhancement for underrepresented groups, the province’s other policy supports for WIL do not offer this feature, representing a potential policy gap. </w:t>
      </w:r>
    </w:p>
    <w:p w14:paraId="72C476FD" w14:textId="77777777" w:rsidR="00A71C05" w:rsidRPr="008727A1" w:rsidRDefault="00A71C05" w:rsidP="008727A1">
      <w:pPr>
        <w:pStyle w:val="HeadingE3"/>
        <w:rPr>
          <w:sz w:val="22"/>
        </w:rPr>
      </w:pPr>
      <w:r w:rsidRPr="008727A1">
        <w:rPr>
          <w:sz w:val="22"/>
        </w:rPr>
        <w:t>Recommendations</w:t>
      </w:r>
    </w:p>
    <w:p w14:paraId="421AFD19" w14:textId="4C61CBE6" w:rsidR="00232810" w:rsidRDefault="00232810" w:rsidP="00232810">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 xml:space="preserve">Enhance post-secondary institution funding to increase support for students with disabilities and employers participating in WIL </w:t>
      </w:r>
    </w:p>
    <w:p w14:paraId="206C8C1D" w14:textId="77777777" w:rsidR="00232810" w:rsidRPr="00EA26E2" w:rsidRDefault="00232810" w:rsidP="00232810">
      <w:pPr>
        <w:pStyle w:val="Normal1"/>
        <w:widowControl w:val="0"/>
        <w:pBdr>
          <w:top w:val="nil"/>
          <w:left w:val="nil"/>
          <w:bottom w:val="nil"/>
          <w:right w:val="nil"/>
          <w:between w:val="nil"/>
        </w:pBdr>
        <w:spacing w:after="240"/>
        <w:ind w:left="426"/>
        <w:jc w:val="both"/>
        <w:rPr>
          <w:color w:val="000000"/>
        </w:rPr>
      </w:pPr>
      <w:r>
        <w:rPr>
          <w:color w:val="000000"/>
        </w:rPr>
        <w:t>Increase funding to post-secondary institutions to enable the development and implementation of strategies that will increase post-secondary institutions’ capacity to support students with disabilities to undertake WIL placements, and employers to hire students with disabilities for WIL placements</w:t>
      </w:r>
      <w:r>
        <w:t>.</w:t>
      </w:r>
    </w:p>
    <w:p w14:paraId="7F47FAD0" w14:textId="77777777" w:rsidR="00232810" w:rsidRDefault="00232810" w:rsidP="00232810">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Fund further research on participation of students with disabilities in WIL</w:t>
      </w:r>
    </w:p>
    <w:p w14:paraId="076E0C4E" w14:textId="77777777" w:rsidR="00232810" w:rsidRDefault="00232810" w:rsidP="00232810">
      <w:pPr>
        <w:pStyle w:val="Normal1"/>
        <w:widowControl w:val="0"/>
        <w:pBdr>
          <w:top w:val="nil"/>
          <w:left w:val="nil"/>
          <w:bottom w:val="nil"/>
          <w:right w:val="nil"/>
          <w:between w:val="nil"/>
        </w:pBdr>
        <w:spacing w:after="240"/>
        <w:ind w:left="426"/>
        <w:jc w:val="both"/>
        <w:rPr>
          <w:color w:val="000000"/>
        </w:rPr>
      </w:pPr>
      <w:r>
        <w:rPr>
          <w:color w:val="000000"/>
        </w:rPr>
        <w:t xml:space="preserve">Develop a provincial research program aimed at increasing the participation of students with disabilities in WIL programming and improving their employment outcomes. (The David C. Onley Initiative </w:t>
      </w:r>
      <w:r>
        <w:rPr>
          <w:color w:val="111111"/>
        </w:rPr>
        <w:t>for Employment and Enterprise Development</w:t>
      </w:r>
      <w:r>
        <w:rPr>
          <w:color w:val="000000"/>
        </w:rPr>
        <w:t xml:space="preserve"> led by Carlton University may offer a reference base). </w:t>
      </w:r>
    </w:p>
    <w:p w14:paraId="23DAC0DD" w14:textId="77777777" w:rsidR="00232810" w:rsidRDefault="00232810" w:rsidP="00232810">
      <w:pPr>
        <w:widowControl w:val="0"/>
        <w:numPr>
          <w:ilvl w:val="0"/>
          <w:numId w:val="38"/>
        </w:numPr>
        <w:autoSpaceDE w:val="0"/>
        <w:autoSpaceDN w:val="0"/>
        <w:adjustRightInd w:val="0"/>
        <w:spacing w:after="0"/>
        <w:ind w:left="426" w:hanging="426"/>
        <w:jc w:val="both"/>
        <w:rPr>
          <w:b/>
          <w:bCs/>
          <w:i/>
          <w:iCs/>
        </w:rPr>
      </w:pPr>
      <w:r>
        <w:rPr>
          <w:b/>
          <w:bCs/>
          <w:i/>
          <w:iCs/>
        </w:rPr>
        <w:t>Consider inclusion of a funding enhancement measure for underrepresented groups within provincial level WIL supports</w:t>
      </w:r>
    </w:p>
    <w:p w14:paraId="7BF35BF0" w14:textId="755169FF" w:rsidR="00232810" w:rsidRPr="00122C44" w:rsidRDefault="00232810" w:rsidP="00122C44">
      <w:pPr>
        <w:pStyle w:val="Normal1"/>
        <w:widowControl w:val="0"/>
        <w:pBdr>
          <w:top w:val="nil"/>
          <w:left w:val="nil"/>
          <w:bottom w:val="nil"/>
          <w:right w:val="nil"/>
          <w:between w:val="nil"/>
        </w:pBdr>
        <w:spacing w:after="480"/>
        <w:ind w:left="425"/>
        <w:jc w:val="both"/>
        <w:rPr>
          <w:rStyle w:val="BookTitle"/>
          <w:b/>
          <w:bCs w:val="0"/>
          <w:color w:val="000000"/>
          <w:spacing w:val="0"/>
        </w:rPr>
      </w:pPr>
      <w:r>
        <w:t>Examine the effectiveness of WIL government policies that offer funding enhancement measures to incentivise hiring of students with disabilities. Consider the inclusion of a funding enhancement measure for underrepresented groups within existing, or future provincial level WIL supports. (Examples of funding enhancement measures in Ontario, Quebec and B.C. (under the Apprenticeship Training Tax Credit) may offer a reference base).</w:t>
      </w:r>
    </w:p>
    <w:p w14:paraId="2F3A5F6E" w14:textId="77777777" w:rsidR="00A71C05" w:rsidRPr="008727A1" w:rsidRDefault="00A71C05" w:rsidP="008727A1">
      <w:pPr>
        <w:pStyle w:val="HeadingE3"/>
      </w:pPr>
      <w:bookmarkStart w:id="19" w:name="_Toc403133209"/>
      <w:r w:rsidRPr="008727A1">
        <w:t>WIL participation: Indigenous students</w:t>
      </w:r>
      <w:bookmarkEnd w:id="19"/>
    </w:p>
    <w:p w14:paraId="6D6BC265" w14:textId="77777777" w:rsidR="00A71C05" w:rsidRDefault="00A71C05" w:rsidP="00122C44">
      <w:pPr>
        <w:pStyle w:val="BodyText"/>
      </w:pPr>
      <w:r>
        <w:t xml:space="preserve">The discrepancy in post-secondary educational attainment between Indigenous and non-Indigenous Canadians is well-known, and acknowledged in the Truth and Reconciliation report’s calls to action that outlines the need “to eliminate educational and employment gaps between Aboriginal and non-Aboriginal Canadians.” WIL is an important measure in helping to address this call to action, and may assist in reversing historical patterns of educational and labour market inequity. It is therefore important to ensure that WIL is accessible to all students, including Indigenous students. </w:t>
      </w:r>
    </w:p>
    <w:p w14:paraId="5A0D88D0" w14:textId="77777777" w:rsidR="00A71C05" w:rsidRDefault="00A71C05" w:rsidP="00122C44">
      <w:pPr>
        <w:pStyle w:val="BodyText"/>
      </w:pPr>
      <w:r>
        <w:t xml:space="preserve">An established body of literature exists on the barriers Indigenous students face to entering, and succeeding in post-secondary education, but little research exists examining Indigenous student participation in WIL. Based on limited literature, barriers Indigenous students face to participating in WIL may include a lack of culturally relevant WIL opportunities; student characteristics such as part-time study or having dependents; complications associated with federal student funding; and a discrepancy in educational attainment between Indigenous and non-Indigenous students that occurs prior to students entering post-secondary education. </w:t>
      </w:r>
    </w:p>
    <w:p w14:paraId="54467199" w14:textId="77777777" w:rsidR="00A71C05" w:rsidRDefault="00A71C05" w:rsidP="00122C44">
      <w:pPr>
        <w:pStyle w:val="BodyText"/>
      </w:pPr>
      <w:r>
        <w:t xml:space="preserve">While the literature examining Indigenous student participation in WIL is limited, strategies identified to decrease the barriers Indigenous students face in participating in WIL cover several areas. These include creation of Indigenous specific work placements and experiences; strengthening partnerships between post-secondary institutions and Indigenous led organizations and individuals; and further research on WIL for Indigenous students. </w:t>
      </w:r>
    </w:p>
    <w:p w14:paraId="2D80D2D9" w14:textId="77777777" w:rsidR="00A71C05" w:rsidRDefault="00A71C05" w:rsidP="00122C44">
      <w:pPr>
        <w:pStyle w:val="BodyText"/>
      </w:pPr>
      <w:r>
        <w:t xml:space="preserve">Although more research is needed to identify suitable policies to support Indigenous student participation in WIL, current literature indicates that Indigenous students form a heterogeneous group, and consideration of the potential diversity in student needs will be pertinent for the design of WIL policy. Hunt-Jinnouchi, McRae &amp; Nagel (2008) identified a need for culturally relevant WIL placements, while Jacknife (2017) found not all students placed a high importance on cultural connections and placements, thus highlighting the differing needs of students.  </w:t>
      </w:r>
    </w:p>
    <w:p w14:paraId="4225A79F" w14:textId="77777777" w:rsidR="00A71C05" w:rsidRPr="00843649" w:rsidRDefault="00A71C05" w:rsidP="00122C44">
      <w:pPr>
        <w:pStyle w:val="BodyText"/>
      </w:pPr>
      <w:r>
        <w:t xml:space="preserve">New Brunswick’s collaborative approach to working with Indigenous communities to determine criteria for the allocation of its 2018 announced funding investment in WIL offers an approach that could support the development of WIL policy in B.C. Taking an approach of working with, and learning from, Indigenous communities will be important to the development of policy that meets the needs of Indigenous students. </w:t>
      </w:r>
    </w:p>
    <w:p w14:paraId="399C61F8" w14:textId="214BAD44" w:rsidR="00A71C05" w:rsidRDefault="00A71C05" w:rsidP="00122C44">
      <w:pPr>
        <w:pStyle w:val="BodyText"/>
      </w:pPr>
      <w:r>
        <w:t xml:space="preserve">Promising practices supporting Indigenous student participation in WIL, such as Okanagan College’s Construction Craft Worker Aboriginal programs, and the University of Victoria’s Indigenous WIL exchange program (described on pages </w:t>
      </w:r>
      <w:r w:rsidR="005C5A7B">
        <w:t xml:space="preserve">22 </w:t>
      </w:r>
      <w:r w:rsidR="005C5A7B" w:rsidRPr="005C5A7B">
        <w:rPr>
          <w:color w:val="000000"/>
        </w:rPr>
        <w:t xml:space="preserve"> – </w:t>
      </w:r>
      <w:r w:rsidR="005C5A7B" w:rsidRPr="005C5A7B">
        <w:t>24</w:t>
      </w:r>
      <w:r w:rsidRPr="005C5A7B">
        <w:t>),</w:t>
      </w:r>
      <w:r>
        <w:t xml:space="preserve"> demonstrate examples of customized programs for Indigenous students. These programs have enhanced the cultural relevance and level of support offered to students, and decreased the financial cost to students, however both highlight the level of additional funding required to provide tailored programs such as these. </w:t>
      </w:r>
    </w:p>
    <w:p w14:paraId="3F672D74" w14:textId="77777777" w:rsidR="00A71C05" w:rsidRPr="006177A5" w:rsidRDefault="00A71C05" w:rsidP="00122C44">
      <w:pPr>
        <w:pStyle w:val="BodyText"/>
      </w:pPr>
      <w:r>
        <w:t xml:space="preserve">As with students with disabilities, hiring incentives for employers may also assist in encouraging increased WIL participation of Indigenous students. At the federal level, the Student Work Placement Program offers an enhanced wage subsidy for employers hiring students with disabilities, and similar mechanisms exist in Ontario, Quebec and B.C. (under the Apprenticeship Training Tax Credit). In B.C., the only WIL policy support to offer a funding enhancement for underrepresented groups is the Apprenticeship Training Tax Credit. An absence of this mechanism within other WIL policy supports in B.C. represents a potential policy gap. </w:t>
      </w:r>
    </w:p>
    <w:p w14:paraId="7447841E" w14:textId="77777777" w:rsidR="00A71C05" w:rsidRPr="008727A1" w:rsidRDefault="00A71C05" w:rsidP="00A71C05">
      <w:pPr>
        <w:pStyle w:val="Normal1"/>
        <w:pBdr>
          <w:top w:val="nil"/>
          <w:left w:val="nil"/>
          <w:bottom w:val="nil"/>
          <w:right w:val="nil"/>
          <w:between w:val="nil"/>
        </w:pBdr>
        <w:jc w:val="both"/>
        <w:rPr>
          <w:rStyle w:val="BookTitle"/>
          <w:b/>
          <w:i w:val="0"/>
          <w:color w:val="auto"/>
        </w:rPr>
      </w:pPr>
      <w:r w:rsidRPr="008727A1">
        <w:rPr>
          <w:rStyle w:val="BookTitle"/>
          <w:b/>
          <w:i w:val="0"/>
          <w:color w:val="auto"/>
        </w:rPr>
        <w:t>Recommendations</w:t>
      </w:r>
    </w:p>
    <w:p w14:paraId="78678343" w14:textId="77777777" w:rsidR="00232810" w:rsidRPr="008F78A4" w:rsidRDefault="00232810" w:rsidP="00232810">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 xml:space="preserve">Enhance post-secondary institution funding to increase support for Indigenous students to undertake WIL placements </w:t>
      </w:r>
    </w:p>
    <w:p w14:paraId="36238824" w14:textId="77777777" w:rsidR="00232810" w:rsidRDefault="00232810" w:rsidP="00232810">
      <w:pPr>
        <w:pStyle w:val="Normal1"/>
        <w:widowControl w:val="0"/>
        <w:pBdr>
          <w:top w:val="nil"/>
          <w:left w:val="nil"/>
          <w:bottom w:val="nil"/>
          <w:right w:val="nil"/>
          <w:between w:val="nil"/>
        </w:pBdr>
        <w:spacing w:after="240"/>
        <w:ind w:left="426"/>
        <w:jc w:val="both"/>
        <w:rPr>
          <w:color w:val="000000"/>
        </w:rPr>
      </w:pPr>
      <w:r>
        <w:rPr>
          <w:color w:val="000000"/>
        </w:rPr>
        <w:t xml:space="preserve">Increase funding to post-secondary institutions to enable the development and implementation of strategies that will increase post-secondary institutions’ capacity to support Indigenous student participation in WIL. </w:t>
      </w:r>
    </w:p>
    <w:p w14:paraId="0C2AAF03" w14:textId="77777777" w:rsidR="00232810" w:rsidRDefault="00232810" w:rsidP="00232810">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 xml:space="preserve">Fund further research on Indigenous student participation in WIL </w:t>
      </w:r>
    </w:p>
    <w:p w14:paraId="5C88C913" w14:textId="77777777" w:rsidR="00232810" w:rsidRDefault="00232810" w:rsidP="00232810">
      <w:pPr>
        <w:pStyle w:val="Normal1"/>
        <w:widowControl w:val="0"/>
        <w:numPr>
          <w:ilvl w:val="0"/>
          <w:numId w:val="36"/>
        </w:numPr>
        <w:pBdr>
          <w:top w:val="nil"/>
          <w:left w:val="nil"/>
          <w:bottom w:val="nil"/>
          <w:right w:val="nil"/>
          <w:between w:val="nil"/>
        </w:pBdr>
        <w:spacing w:after="240"/>
        <w:ind w:left="709" w:hanging="283"/>
        <w:jc w:val="both"/>
        <w:rPr>
          <w:color w:val="000000"/>
        </w:rPr>
      </w:pPr>
      <w:r>
        <w:rPr>
          <w:color w:val="000000"/>
        </w:rPr>
        <w:t xml:space="preserve">Develop a provincial research program aimed at increasing Indigenous student participation in WIL programming and improved employment outcomes. </w:t>
      </w:r>
    </w:p>
    <w:p w14:paraId="0696C695" w14:textId="77777777" w:rsidR="00232810" w:rsidRDefault="00232810" w:rsidP="00232810">
      <w:pPr>
        <w:pStyle w:val="Normal1"/>
        <w:widowControl w:val="0"/>
        <w:numPr>
          <w:ilvl w:val="0"/>
          <w:numId w:val="36"/>
        </w:numPr>
        <w:pBdr>
          <w:top w:val="nil"/>
          <w:left w:val="nil"/>
          <w:bottom w:val="nil"/>
          <w:right w:val="nil"/>
          <w:between w:val="nil"/>
        </w:pBdr>
        <w:spacing w:after="240"/>
        <w:ind w:left="709" w:hanging="283"/>
        <w:jc w:val="both"/>
      </w:pPr>
      <w:r>
        <w:t xml:space="preserve">Collaborate with Indigenous communities to formulate and conduct a research program to meet these needs. (New Brunswick’s approach to working with Indigenous communities to determine criteria for the allocation of its 2018 funding investment in WIL may offer a reference base). </w:t>
      </w:r>
    </w:p>
    <w:p w14:paraId="614CEC16" w14:textId="77777777" w:rsidR="00232810" w:rsidRDefault="00232810" w:rsidP="00232810">
      <w:pPr>
        <w:pStyle w:val="Normal1"/>
        <w:widowControl w:val="0"/>
        <w:numPr>
          <w:ilvl w:val="0"/>
          <w:numId w:val="38"/>
        </w:numPr>
        <w:pBdr>
          <w:top w:val="nil"/>
          <w:left w:val="nil"/>
          <w:bottom w:val="nil"/>
          <w:right w:val="nil"/>
          <w:between w:val="nil"/>
        </w:pBdr>
        <w:spacing w:after="0"/>
        <w:ind w:left="426" w:hanging="426"/>
        <w:contextualSpacing/>
        <w:jc w:val="both"/>
        <w:rPr>
          <w:b/>
          <w:i/>
          <w:color w:val="000000"/>
        </w:rPr>
      </w:pPr>
      <w:r>
        <w:rPr>
          <w:b/>
          <w:i/>
          <w:color w:val="000000"/>
        </w:rPr>
        <w:t>Consider inclusion of a funding enhancement measure for underrepresented groups within provincial level WIL supports</w:t>
      </w:r>
    </w:p>
    <w:p w14:paraId="7EDB48E7" w14:textId="5F09FD67" w:rsidR="00A71C05" w:rsidRPr="00E27281" w:rsidRDefault="00232810" w:rsidP="00122C44">
      <w:pPr>
        <w:pStyle w:val="Normal1"/>
        <w:widowControl w:val="0"/>
        <w:pBdr>
          <w:top w:val="nil"/>
          <w:left w:val="nil"/>
          <w:bottom w:val="nil"/>
          <w:right w:val="nil"/>
          <w:between w:val="nil"/>
        </w:pBdr>
        <w:spacing w:after="480"/>
        <w:ind w:left="425"/>
        <w:jc w:val="both"/>
        <w:rPr>
          <w:b/>
          <w:i/>
          <w:color w:val="000000"/>
        </w:rPr>
      </w:pPr>
      <w:r>
        <w:rPr>
          <w:color w:val="000000"/>
        </w:rPr>
        <w:t>Examine the effectiveness of funding enhancement measures to incentivise hiring of Indigenous students. Consider the inclusion of a funding enhancement measure for underrepresented groups within existing, or future provincial level WIL supports. (Examples of funding enhancement measures in Ontario, Quebec and B.C. (under the Apprenticeship Training Tax Credit) may offer a reference base).</w:t>
      </w:r>
    </w:p>
    <w:p w14:paraId="3D88B138" w14:textId="77777777" w:rsidR="00A71C05" w:rsidRPr="008727A1" w:rsidRDefault="00A71C05" w:rsidP="008727A1">
      <w:pPr>
        <w:rPr>
          <w:b/>
        </w:rPr>
      </w:pPr>
      <w:r w:rsidRPr="008727A1">
        <w:rPr>
          <w:b/>
        </w:rPr>
        <w:t>Overarching recommendation</w:t>
      </w:r>
    </w:p>
    <w:p w14:paraId="78C45EE2" w14:textId="77777777" w:rsidR="00232810" w:rsidRDefault="00232810" w:rsidP="00232810">
      <w:pPr>
        <w:pStyle w:val="Normal1"/>
        <w:numPr>
          <w:ilvl w:val="0"/>
          <w:numId w:val="38"/>
        </w:numPr>
        <w:pBdr>
          <w:top w:val="nil"/>
          <w:left w:val="nil"/>
          <w:bottom w:val="nil"/>
          <w:right w:val="nil"/>
          <w:between w:val="nil"/>
        </w:pBdr>
        <w:ind w:left="426" w:hanging="426"/>
        <w:contextualSpacing/>
        <w:rPr>
          <w:b/>
          <w:i/>
          <w:color w:val="000000"/>
        </w:rPr>
      </w:pPr>
      <w:r>
        <w:rPr>
          <w:b/>
          <w:i/>
        </w:rPr>
        <w:t>Establish data collection measures in conjunction with the implementation of provincial WIL policy supports</w:t>
      </w:r>
    </w:p>
    <w:p w14:paraId="64163DC2" w14:textId="37729E2C" w:rsidR="00542120" w:rsidRDefault="00232810" w:rsidP="00542120">
      <w:pPr>
        <w:pStyle w:val="Normal1"/>
        <w:pBdr>
          <w:top w:val="nil"/>
          <w:left w:val="nil"/>
          <w:bottom w:val="nil"/>
          <w:right w:val="nil"/>
          <w:between w:val="nil"/>
        </w:pBdr>
        <w:ind w:left="426"/>
      </w:pPr>
      <w:r>
        <w:t>To enable provincial level policy evaluation and assessment of impact, ensure data collection measures are established in conjunction with the implementation of WIL policy in B.C</w:t>
      </w:r>
      <w:bookmarkStart w:id="20" w:name="_Toc403133210"/>
      <w:r w:rsidR="00542120">
        <w:t xml:space="preserve">. </w:t>
      </w:r>
    </w:p>
    <w:p w14:paraId="432ABD60" w14:textId="77777777" w:rsidR="00542120" w:rsidRDefault="00542120">
      <w:r>
        <w:br w:type="page"/>
      </w:r>
    </w:p>
    <w:p w14:paraId="25CD9B52" w14:textId="444C1D2F" w:rsidR="00F91B43" w:rsidRPr="008727A1" w:rsidRDefault="008267C3" w:rsidP="008727A1">
      <w:pPr>
        <w:pStyle w:val="HeadingE1"/>
      </w:pPr>
      <w:r w:rsidRPr="008727A1">
        <w:t>References</w:t>
      </w:r>
      <w:bookmarkEnd w:id="20"/>
    </w:p>
    <w:p w14:paraId="7C8ADE5E" w14:textId="77777777" w:rsidR="004303E5" w:rsidRPr="0042143D"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BC Innovation Council. (2018). </w:t>
      </w:r>
      <w:r w:rsidRPr="0042143D">
        <w:rPr>
          <w:rFonts w:asciiTheme="majorHAnsi" w:eastAsia="Times New Roman" w:hAnsiTheme="majorHAnsi" w:cs="Times New Roman"/>
          <w:i/>
          <w:iCs/>
          <w:color w:val="000000"/>
        </w:rPr>
        <w:t>BC Tech Co-op Grants Program guidelines</w:t>
      </w:r>
      <w:r w:rsidRPr="00E8082B">
        <w:rPr>
          <w:rFonts w:asciiTheme="majorHAnsi" w:eastAsia="Times New Roman" w:hAnsiTheme="majorHAnsi" w:cs="Times New Roman"/>
          <w:color w:val="000000"/>
        </w:rPr>
        <w:t xml:space="preserve">. Retrieved from </w:t>
      </w:r>
      <w:r w:rsidRPr="0042143D">
        <w:rPr>
          <w:rFonts w:asciiTheme="majorHAnsi" w:eastAsia="Times New Roman" w:hAnsiTheme="majorHAnsi" w:cs="Times New Roman"/>
          <w:color w:val="000000"/>
        </w:rPr>
        <w:t>https://innovatebc.ca/wp-content/uploads/2018/05/Tech-Co-op-Program-Guidelines_v.6.0.pdf</w:t>
      </w:r>
    </w:p>
    <w:p w14:paraId="7681B47B" w14:textId="77777777" w:rsidR="004303E5" w:rsidRPr="00E8082B" w:rsidRDefault="004303E5" w:rsidP="004303E5">
      <w:pPr>
        <w:ind w:left="709" w:hanging="709"/>
        <w:rPr>
          <w:rFonts w:asciiTheme="majorHAnsi" w:eastAsia="Times New Roman" w:hAnsiTheme="majorHAnsi" w:cs="Times New Roman"/>
          <w:color w:val="000000"/>
          <w:shd w:val="clear" w:color="auto" w:fill="FFFFFF"/>
        </w:rPr>
      </w:pPr>
      <w:r w:rsidRPr="0042143D">
        <w:rPr>
          <w:rFonts w:asciiTheme="majorHAnsi" w:eastAsia="Times New Roman" w:hAnsiTheme="majorHAnsi" w:cs="Times New Roman"/>
          <w:color w:val="000000"/>
          <w:shd w:val="clear" w:color="auto" w:fill="FFFFFF"/>
        </w:rPr>
        <w:t>BC Tech Association. (2016). </w:t>
      </w:r>
      <w:r w:rsidRPr="0042143D">
        <w:rPr>
          <w:rFonts w:asciiTheme="majorHAnsi" w:eastAsia="Times New Roman" w:hAnsiTheme="majorHAnsi" w:cs="Times New Roman"/>
          <w:i/>
          <w:iCs/>
          <w:color w:val="000000"/>
          <w:shd w:val="clear" w:color="auto" w:fill="FFFFFF"/>
        </w:rPr>
        <w:t>2016 TechTalentBC report</w:t>
      </w:r>
      <w:r w:rsidRPr="0042143D">
        <w:rPr>
          <w:rFonts w:asciiTheme="majorHAnsi" w:eastAsia="Times New Roman" w:hAnsiTheme="majorHAnsi" w:cs="Times New Roman"/>
          <w:color w:val="000000"/>
          <w:shd w:val="clear" w:color="auto" w:fill="FFFFFF"/>
        </w:rPr>
        <w:t>. Retrieved from https://www.workbc.ca/Labour-Market-Industry/B-C-s-Economy/TechTalentBC-Report-2016.aspx</w:t>
      </w:r>
    </w:p>
    <w:p w14:paraId="68F5C818" w14:textId="77777777" w:rsidR="004303E5" w:rsidRPr="0042143D"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BHER (Business/Higher Education Roundtable). (2016). </w:t>
      </w:r>
      <w:r w:rsidRPr="0042143D">
        <w:rPr>
          <w:rFonts w:asciiTheme="majorHAnsi" w:eastAsia="Times New Roman" w:hAnsiTheme="majorHAnsi" w:cs="Times New Roman"/>
          <w:i/>
          <w:iCs/>
          <w:color w:val="000000"/>
        </w:rPr>
        <w:t>Taking the pulse of work-integrated learning in Canada</w:t>
      </w:r>
      <w:r w:rsidRPr="00E8082B">
        <w:rPr>
          <w:rFonts w:asciiTheme="majorHAnsi" w:eastAsia="Times New Roman" w:hAnsiTheme="majorHAnsi" w:cs="Times New Roman"/>
          <w:color w:val="000000"/>
        </w:rPr>
        <w:t xml:space="preserve">. Retrieved from </w:t>
      </w:r>
      <w:r w:rsidRPr="0042143D">
        <w:rPr>
          <w:rFonts w:asciiTheme="majorHAnsi" w:eastAsia="Times New Roman" w:hAnsiTheme="majorHAnsi" w:cs="Times New Roman"/>
          <w:color w:val="000000"/>
        </w:rPr>
        <w:t>http://bher.ca/publications/taking-the-pulse-of-work-integrated-learning-in-canada-full-report</w:t>
      </w:r>
    </w:p>
    <w:p w14:paraId="380A32D6" w14:textId="77777777" w:rsidR="004303E5" w:rsidRPr="00E8082B" w:rsidRDefault="004303E5" w:rsidP="004303E5">
      <w:pPr>
        <w:widowControl w:val="0"/>
        <w:autoSpaceDE w:val="0"/>
        <w:autoSpaceDN w:val="0"/>
        <w:adjustRightInd w:val="0"/>
        <w:spacing w:after="240" w:line="300" w:lineRule="atLeast"/>
        <w:ind w:left="851" w:hanging="851"/>
        <w:rPr>
          <w:rFonts w:asciiTheme="majorHAnsi" w:eastAsia="Times New Roman" w:hAnsiTheme="majorHAnsi" w:cs="Times New Roman"/>
          <w:color w:val="000000"/>
          <w:shd w:val="clear" w:color="auto" w:fill="FFFFFF"/>
        </w:rPr>
      </w:pPr>
      <w:r w:rsidRPr="00232E92">
        <w:rPr>
          <w:rFonts w:asciiTheme="majorHAnsi" w:eastAsia="Times New Roman" w:hAnsiTheme="majorHAnsi" w:cs="Times New Roman"/>
          <w:shd w:val="clear" w:color="auto" w:fill="FFFFFF"/>
        </w:rPr>
        <w:t>British Columbia Co-operative Education Statistical Database</w:t>
      </w:r>
      <w:r w:rsidRPr="0042143D">
        <w:rPr>
          <w:rFonts w:asciiTheme="majorHAnsi" w:eastAsia="Times New Roman" w:hAnsiTheme="majorHAnsi" w:cs="Times New Roman"/>
          <w:shd w:val="clear" w:color="auto" w:fill="FFFFFF"/>
        </w:rPr>
        <w:t>. (2018). BC co-op placement weeks 2010/11 – 2016/17.</w:t>
      </w:r>
      <w:r w:rsidRPr="0042143D">
        <w:rPr>
          <w:rFonts w:asciiTheme="majorHAnsi" w:eastAsia="Times New Roman" w:hAnsiTheme="majorHAnsi" w:cs="Times New Roman"/>
          <w:color w:val="000000"/>
          <w:shd w:val="clear" w:color="auto" w:fill="FFFFFF"/>
        </w:rPr>
        <w:t xml:space="preserve"> </w:t>
      </w:r>
    </w:p>
    <w:p w14:paraId="7A4D07B7"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British Columbia Government. (2018</w:t>
      </w:r>
      <w:r>
        <w:rPr>
          <w:rFonts w:asciiTheme="majorHAnsi" w:eastAsia="Times New Roman" w:hAnsiTheme="majorHAnsi" w:cs="Times New Roman"/>
          <w:color w:val="000000"/>
        </w:rPr>
        <w:t>a</w:t>
      </w:r>
      <w:r w:rsidRPr="00E8082B">
        <w:rPr>
          <w:rFonts w:asciiTheme="majorHAnsi" w:eastAsia="Times New Roman" w:hAnsiTheme="majorHAnsi" w:cs="Times New Roman"/>
          <w:color w:val="000000"/>
        </w:rPr>
        <w:t>, October 5). Innovate BC Tech Co-op Grants. Retrieved from https://www2.gov.bc.ca/gov/content/employment-business/economic-development/funding-and-grants/bc-tech-co-op-grants-program</w:t>
      </w:r>
    </w:p>
    <w:p w14:paraId="782DFEB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British Columbia Government. (2018</w:t>
      </w:r>
      <w:r>
        <w:rPr>
          <w:rFonts w:asciiTheme="majorHAnsi" w:eastAsia="Times New Roman" w:hAnsiTheme="majorHAnsi" w:cs="Times New Roman"/>
          <w:color w:val="000000"/>
        </w:rPr>
        <w:t>b</w:t>
      </w:r>
      <w:r w:rsidRPr="00E8082B">
        <w:rPr>
          <w:rFonts w:asciiTheme="majorHAnsi" w:eastAsia="Times New Roman" w:hAnsiTheme="majorHAnsi" w:cs="Times New Roman"/>
          <w:color w:val="000000"/>
        </w:rPr>
        <w:t>, June 11). B.C. Employer Training Grant. Retrieved from https://www2.gov.bc.ca/gov/content/employment-business/economic-development/funding-and-grants/bc-employer-training-grant</w:t>
      </w:r>
    </w:p>
    <w:p w14:paraId="1791FA2B" w14:textId="77777777" w:rsidR="004303E5" w:rsidRPr="0042143D"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British Columbia Government. (n.d.). Trai</w:t>
      </w:r>
      <w:r>
        <w:rPr>
          <w:rFonts w:asciiTheme="majorHAnsi" w:eastAsia="Times New Roman" w:hAnsiTheme="majorHAnsi" w:cs="Times New Roman"/>
          <w:color w:val="000000"/>
        </w:rPr>
        <w:t xml:space="preserve">ning Tax Credit. Retrieved from </w:t>
      </w:r>
      <w:r w:rsidRPr="0042143D">
        <w:rPr>
          <w:rFonts w:asciiTheme="majorHAnsi" w:eastAsia="Times New Roman" w:hAnsiTheme="majorHAnsi" w:cs="Times New Roman"/>
          <w:color w:val="000000"/>
        </w:rPr>
        <w:t>https://www2.gov.bc.ca/gov/content/taxes/income-taxes/corporate/credits/training</w:t>
      </w:r>
    </w:p>
    <w:p w14:paraId="5636F9F1" w14:textId="77777777" w:rsidR="004303E5" w:rsidRDefault="004303E5" w:rsidP="004303E5">
      <w:pPr>
        <w:ind w:left="709" w:hanging="709"/>
        <w:rPr>
          <w:rFonts w:asciiTheme="majorHAnsi" w:eastAsia="Times New Roman" w:hAnsiTheme="majorHAnsi" w:cs="Times New Roman"/>
          <w:color w:val="000000"/>
          <w:shd w:val="clear" w:color="auto" w:fill="FFFFFF"/>
        </w:rPr>
      </w:pPr>
      <w:r w:rsidRPr="0042143D">
        <w:rPr>
          <w:rFonts w:asciiTheme="majorHAnsi" w:eastAsia="Times New Roman" w:hAnsiTheme="majorHAnsi" w:cs="Times New Roman"/>
          <w:color w:val="000000"/>
          <w:shd w:val="clear" w:color="auto" w:fill="FFFFFF"/>
        </w:rPr>
        <w:t>Business Council of Canada. (2018). </w:t>
      </w:r>
      <w:r w:rsidRPr="0042143D">
        <w:rPr>
          <w:rFonts w:asciiTheme="majorHAnsi" w:eastAsia="Times New Roman" w:hAnsiTheme="majorHAnsi" w:cs="Times New Roman"/>
          <w:i/>
          <w:iCs/>
          <w:color w:val="000000"/>
          <w:shd w:val="clear" w:color="auto" w:fill="FFFFFF"/>
        </w:rPr>
        <w:t>Navigating change: 2018 Business Council skills survey</w:t>
      </w:r>
      <w:r w:rsidRPr="0042143D">
        <w:rPr>
          <w:rFonts w:asciiTheme="majorHAnsi" w:eastAsia="Times New Roman" w:hAnsiTheme="majorHAnsi" w:cs="Times New Roman"/>
          <w:color w:val="000000"/>
          <w:shd w:val="clear" w:color="auto" w:fill="FFFFFF"/>
        </w:rPr>
        <w:t xml:space="preserve">. Retrieved from </w:t>
      </w:r>
      <w:r w:rsidRPr="00745306">
        <w:rPr>
          <w:rFonts w:asciiTheme="majorHAnsi" w:eastAsia="Times New Roman" w:hAnsiTheme="majorHAnsi" w:cs="Times New Roman"/>
          <w:color w:val="000000"/>
          <w:shd w:val="clear" w:color="auto" w:fill="FFFFFF"/>
        </w:rPr>
        <w:t>https://thebusinesscouncil.ca/publications/2018skillssurvey/</w:t>
      </w:r>
    </w:p>
    <w:p w14:paraId="161F86D8" w14:textId="77777777" w:rsidR="004303E5" w:rsidRPr="00745306"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Canada Revenue Agency. (2018</w:t>
      </w:r>
      <w:r>
        <w:rPr>
          <w:rFonts w:asciiTheme="majorHAnsi" w:eastAsia="Times New Roman" w:hAnsiTheme="majorHAnsi" w:cs="Times New Roman"/>
          <w:color w:val="000000"/>
        </w:rPr>
        <w:t>a</w:t>
      </w:r>
      <w:r w:rsidRPr="00E8082B">
        <w:rPr>
          <w:rFonts w:asciiTheme="majorHAnsi" w:eastAsia="Times New Roman" w:hAnsiTheme="majorHAnsi" w:cs="Times New Roman"/>
          <w:color w:val="000000"/>
        </w:rPr>
        <w:t xml:space="preserve">, March 7). Ontario co-operative education tax credit. Retrieved from </w:t>
      </w:r>
      <w:r w:rsidRPr="0042143D">
        <w:rPr>
          <w:rFonts w:asciiTheme="majorHAnsi" w:eastAsia="Times New Roman" w:hAnsiTheme="majorHAnsi" w:cs="Times New Roman"/>
        </w:rPr>
        <w:t>https://www.canada.ca/en/revenue-agency/services/tax/businesses/topics/corporations/provincial-territorial-corporation-tax/ontario-provincial-corporation-tax/ontario-operative-education-tax-credit.html</w:t>
      </w:r>
    </w:p>
    <w:p w14:paraId="5284BC5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Canada Revenue Agency. (2018</w:t>
      </w:r>
      <w:r>
        <w:rPr>
          <w:rFonts w:asciiTheme="majorHAnsi" w:eastAsia="Times New Roman" w:hAnsiTheme="majorHAnsi" w:cs="Times New Roman"/>
          <w:color w:val="000000"/>
        </w:rPr>
        <w:t>b</w:t>
      </w:r>
      <w:r w:rsidRPr="00E8082B">
        <w:rPr>
          <w:rFonts w:asciiTheme="majorHAnsi" w:eastAsia="Times New Roman" w:hAnsiTheme="majorHAnsi" w:cs="Times New Roman"/>
          <w:color w:val="000000"/>
        </w:rPr>
        <w:t>, March 2). Manitoba paid work experience tax credit. Retrieved from https://www.canada.ca/en/revenue-agency/services/tax/businesses/topics/corporations/provincial-territorial-corporation-tax/manitoba-provincial-corporation-tax/manitoba-paid-work-experience-tax-credit.html</w:t>
      </w:r>
    </w:p>
    <w:p w14:paraId="493A7ECB" w14:textId="77777777" w:rsidR="004303E5" w:rsidRPr="00E8082B" w:rsidRDefault="004303E5" w:rsidP="004303E5">
      <w:pPr>
        <w:ind w:left="709" w:hanging="709"/>
        <w:rPr>
          <w:rFonts w:asciiTheme="majorHAnsi" w:eastAsia="Times New Roman" w:hAnsiTheme="majorHAnsi" w:cs="Times New Roman"/>
        </w:rPr>
      </w:pPr>
      <w:r w:rsidRPr="0042143D">
        <w:rPr>
          <w:rFonts w:asciiTheme="majorHAnsi" w:eastAsia="Times New Roman" w:hAnsiTheme="majorHAnsi" w:cs="Times New Roman"/>
          <w:color w:val="000000"/>
          <w:shd w:val="clear" w:color="auto" w:fill="FFFFFF"/>
        </w:rPr>
        <w:t>Canadian Chamber of Commerce. (2012). </w:t>
      </w:r>
      <w:r w:rsidRPr="0042143D">
        <w:rPr>
          <w:rFonts w:asciiTheme="majorHAnsi" w:eastAsia="Times New Roman" w:hAnsiTheme="majorHAnsi" w:cs="Times New Roman"/>
          <w:i/>
          <w:iCs/>
          <w:color w:val="000000"/>
          <w:shd w:val="clear" w:color="auto" w:fill="FFFFFF"/>
        </w:rPr>
        <w:t>Top 10 barriers to competitiveness: Skills development discussion paper</w:t>
      </w:r>
      <w:r w:rsidRPr="0042143D">
        <w:rPr>
          <w:rFonts w:asciiTheme="majorHAnsi" w:eastAsia="Times New Roman" w:hAnsiTheme="majorHAnsi" w:cs="Times New Roman"/>
          <w:color w:val="000000"/>
          <w:shd w:val="clear" w:color="auto" w:fill="FFFFFF"/>
        </w:rPr>
        <w:t>. Retrieved from http://sudburychamber.ca/wp-content/uploads/2012/04/1203SkillsDevelopmentDiscussionPaper.pdf</w:t>
      </w:r>
    </w:p>
    <w:p w14:paraId="641F112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Caron Malenfant, É., &amp; Morency, J. (2011). </w:t>
      </w:r>
      <w:r w:rsidRPr="0042143D">
        <w:rPr>
          <w:rFonts w:asciiTheme="majorHAnsi" w:eastAsia="Times New Roman" w:hAnsiTheme="majorHAnsi" w:cs="Times New Roman"/>
          <w:i/>
          <w:iCs/>
          <w:color w:val="000000"/>
        </w:rPr>
        <w:t>Population projections by Aboriginal identity in Canada, 2006 to 2031</w:t>
      </w:r>
      <w:r w:rsidRPr="00E8082B">
        <w:rPr>
          <w:rFonts w:asciiTheme="majorHAnsi" w:eastAsia="Times New Roman" w:hAnsiTheme="majorHAnsi" w:cs="Times New Roman"/>
          <w:color w:val="000000"/>
        </w:rPr>
        <w:t xml:space="preserve">. Retrieved from </w:t>
      </w:r>
      <w:r>
        <w:rPr>
          <w:rFonts w:asciiTheme="majorHAnsi" w:eastAsia="Times New Roman" w:hAnsiTheme="majorHAnsi" w:cs="Times New Roman"/>
          <w:color w:val="000000"/>
        </w:rPr>
        <w:t xml:space="preserve">Statistics Canada website: </w:t>
      </w:r>
      <w:r w:rsidRPr="00E8082B">
        <w:rPr>
          <w:rFonts w:asciiTheme="majorHAnsi" w:eastAsia="Times New Roman" w:hAnsiTheme="majorHAnsi" w:cs="Times New Roman"/>
          <w:color w:val="000000"/>
        </w:rPr>
        <w:t>https://www150.statcan.gc.ca/n1/pub/91-552-x/91-552-x2011001-eng.htm</w:t>
      </w:r>
    </w:p>
    <w:p w14:paraId="16E1019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CCL (Canadian Council on Learning). (2007). </w:t>
      </w:r>
      <w:r w:rsidRPr="0042143D">
        <w:rPr>
          <w:rFonts w:asciiTheme="majorHAnsi" w:eastAsia="Times New Roman" w:hAnsiTheme="majorHAnsi" w:cs="Times New Roman"/>
          <w:i/>
          <w:iCs/>
          <w:color w:val="000000"/>
        </w:rPr>
        <w:t>An exploration of work and learning opportunities in New Brunswick</w:t>
      </w:r>
      <w:r>
        <w:rPr>
          <w:rFonts w:asciiTheme="majorHAnsi" w:eastAsia="Times New Roman" w:hAnsiTheme="majorHAnsi" w:cs="Times New Roman"/>
          <w:color w:val="000000"/>
        </w:rPr>
        <w:t xml:space="preserve"> (5). Retrieved from </w:t>
      </w:r>
      <w:r w:rsidRPr="00E8082B">
        <w:rPr>
          <w:rFonts w:asciiTheme="majorHAnsi" w:eastAsia="Times New Roman" w:hAnsiTheme="majorHAnsi" w:cs="Times New Roman"/>
          <w:color w:val="000000"/>
        </w:rPr>
        <w:t>http://en.copian.ca/library/research/ccl/exwork/cover.htm</w:t>
      </w:r>
    </w:p>
    <w:p w14:paraId="5106FF8E"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CCL (Canadian Council on Learning). (2008). </w:t>
      </w:r>
      <w:r w:rsidRPr="0042143D">
        <w:rPr>
          <w:rFonts w:asciiTheme="majorHAnsi" w:eastAsia="Times New Roman" w:hAnsiTheme="majorHAnsi" w:cs="Times New Roman"/>
          <w:i/>
          <w:iCs/>
          <w:color w:val="000000"/>
        </w:rPr>
        <w:t>Lessons in learning: The benefits of experiential learning</w:t>
      </w:r>
      <w:r w:rsidRPr="00E8082B">
        <w:rPr>
          <w:rFonts w:asciiTheme="majorHAnsi" w:eastAsia="Times New Roman" w:hAnsiTheme="majorHAnsi" w:cs="Times New Roman"/>
          <w:color w:val="000000"/>
        </w:rPr>
        <w:t>. Retrieved from http://en.copian.ca/library/research/ccl/benefits_learning/benefits_learning.pdf</w:t>
      </w:r>
    </w:p>
    <w:p w14:paraId="1486D48A"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Coburn, V., &amp; Edge, J. (2015, September 22). Aboriginal learners and post-secondary educ</w:t>
      </w:r>
      <w:r>
        <w:rPr>
          <w:rFonts w:asciiTheme="majorHAnsi" w:eastAsia="Times New Roman" w:hAnsiTheme="majorHAnsi" w:cs="Times New Roman"/>
          <w:color w:val="000000"/>
        </w:rPr>
        <w:t xml:space="preserve">ation in Canada. Retrieved from </w:t>
      </w:r>
      <w:r w:rsidRPr="00E8082B">
        <w:rPr>
          <w:rFonts w:asciiTheme="majorHAnsi" w:eastAsia="Times New Roman" w:hAnsiTheme="majorHAnsi" w:cs="Times New Roman"/>
          <w:color w:val="000000"/>
        </w:rPr>
        <w:t>https://www.conferenceboard.ca/topics/education/commentaries/hot-topics-in-education/2015/09/22/aboriginal_learners_and_post-secondary_education_in_canada.aspx</w:t>
      </w:r>
    </w:p>
    <w:p w14:paraId="13945F78"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College of the North Atlantic. (2012, March). Student employment co-operative placement assistance program (SECPAP) wage subsidy program guidelines and application. Retrieved from https://www.cna.nl.ca/programs-courses/pdfs/SECPAP-Wage-Subsidy-Application.pdf</w:t>
      </w:r>
    </w:p>
    <w:p w14:paraId="3E1F2DF3"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Concordia University. (n.d.). Tax credits and funding. Retrieved from http://www.concordia.ca/academics/co-op/employers/Tax-credits-and-funding.html</w:t>
      </w:r>
    </w:p>
    <w:p w14:paraId="4D329553"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Department of Advanced Education, Skills and Labour, Government of Newfoundland and Labrador. (2018, March 14). Small Enterprise Co-op Placement Assistance Program. Retrieved from https://canadabusiness.ca/programs/small-enterprise-co-op-placement-assistance-program-1/</w:t>
      </w:r>
    </w:p>
    <w:p w14:paraId="28976706"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Easterbrook, A., Bulk, L., Ghanouni, P., Lee, M., Opini, B., Roberts, E., … Jarus, T. (2015). The legitimization process of students with disabilities in health and human service educational programs in Canada. </w:t>
      </w:r>
      <w:r w:rsidRPr="0042143D">
        <w:rPr>
          <w:rFonts w:asciiTheme="majorHAnsi" w:eastAsia="Times New Roman" w:hAnsiTheme="majorHAnsi" w:cs="Times New Roman"/>
          <w:i/>
          <w:iCs/>
          <w:color w:val="000000"/>
        </w:rPr>
        <w:t>Disability &amp; Society</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30</w:t>
      </w:r>
      <w:r w:rsidRPr="00E8082B">
        <w:rPr>
          <w:rFonts w:asciiTheme="majorHAnsi" w:eastAsia="Times New Roman" w:hAnsiTheme="majorHAnsi" w:cs="Times New Roman"/>
          <w:color w:val="000000"/>
        </w:rPr>
        <w:t>(10), 1505-1520. doi:10.1080/09687599.2015.1108183</w:t>
      </w:r>
    </w:p>
    <w:p w14:paraId="53580ACC"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Employment and Social Development Canada. (2018, April 10). Backgrounder: Student work placement program. Retrieved from https://www.canada.ca/en/employment-social-development/news/2018/04/backgrounder-student-work-placement-program.html</w:t>
      </w:r>
    </w:p>
    <w:p w14:paraId="73A32818"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Entrepreneurship Manitoba. (2017, December 10). Paid work experience tax credits. Retrieved from http://www.entrepreneurshipmanitoba.ca/financial-programs/442/co-op-education-and-apprenticeship-tax-credits-mb#eligibility</w:t>
      </w:r>
    </w:p>
    <w:p w14:paraId="554627D0"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Ferns, S., Russell, L., &amp; Kay, J. (2016). Enhancing industry engagement with work-integrated learning: Capacity building for industry partners. </w:t>
      </w:r>
      <w:r w:rsidRPr="0042143D">
        <w:rPr>
          <w:rFonts w:asciiTheme="majorHAnsi" w:eastAsia="Times New Roman" w:hAnsiTheme="majorHAnsi" w:cs="Times New Roman"/>
          <w:i/>
          <w:iCs/>
          <w:color w:val="000000"/>
        </w:rPr>
        <w:t>Asia-Pacific Journal of Cooperative Education, Special Issue</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17</w:t>
      </w:r>
      <w:r w:rsidRPr="00E8082B">
        <w:rPr>
          <w:rFonts w:asciiTheme="majorHAnsi" w:eastAsia="Times New Roman" w:hAnsiTheme="majorHAnsi" w:cs="Times New Roman"/>
          <w:color w:val="000000"/>
        </w:rPr>
        <w:t>(4), 349-375. Retrieved from https://www.ijwil.org/files/APJCE_17_4_363_375.pdf</w:t>
      </w:r>
    </w:p>
    <w:p w14:paraId="7F724394"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Fichten, C. S., Jorgensen, S., Havel, A., Barile, M., Ferraro, V., Landry, M., … Asuncion, J. (2012). What happens after graduation? Outcomes, employment, and recommendations of recent junior/community college graduates with and without disabilities. </w:t>
      </w:r>
      <w:r w:rsidRPr="0042143D">
        <w:rPr>
          <w:rFonts w:asciiTheme="majorHAnsi" w:eastAsia="Times New Roman" w:hAnsiTheme="majorHAnsi" w:cs="Times New Roman"/>
          <w:i/>
          <w:iCs/>
          <w:color w:val="000000"/>
        </w:rPr>
        <w:t>Disability and Rehabilitation</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34</w:t>
      </w:r>
      <w:r w:rsidRPr="00E8082B">
        <w:rPr>
          <w:rFonts w:asciiTheme="majorHAnsi" w:eastAsia="Times New Roman" w:hAnsiTheme="majorHAnsi" w:cs="Times New Roman"/>
          <w:color w:val="000000"/>
        </w:rPr>
        <w:t>(11), 917-924. doi:10.3109/09638288.2011.626488</w:t>
      </w:r>
    </w:p>
    <w:p w14:paraId="5D978FFB" w14:textId="77777777" w:rsidR="004303E5"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Gillies, J. (2012). University graduates with a disability: The transition to the workforce. </w:t>
      </w:r>
      <w:r w:rsidRPr="0042143D">
        <w:rPr>
          <w:rFonts w:asciiTheme="majorHAnsi" w:eastAsia="Times New Roman" w:hAnsiTheme="majorHAnsi" w:cs="Times New Roman"/>
          <w:i/>
          <w:iCs/>
          <w:color w:val="000000"/>
        </w:rPr>
        <w:t>Disability Studies Quarterly</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32</w:t>
      </w:r>
      <w:r w:rsidRPr="00E8082B">
        <w:rPr>
          <w:rFonts w:asciiTheme="majorHAnsi" w:eastAsia="Times New Roman" w:hAnsiTheme="majorHAnsi" w:cs="Times New Roman"/>
          <w:color w:val="000000"/>
        </w:rPr>
        <w:t>(3). doi:10.18061/dsq.v32i3.3281</w:t>
      </w:r>
    </w:p>
    <w:p w14:paraId="1A7B7CE8"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Government of New Brunswick. (2018</w:t>
      </w:r>
      <w:r>
        <w:rPr>
          <w:rFonts w:asciiTheme="majorHAnsi" w:eastAsia="Times New Roman" w:hAnsiTheme="majorHAnsi" w:cs="Times New Roman"/>
          <w:color w:val="000000"/>
        </w:rPr>
        <w:t>a</w:t>
      </w:r>
      <w:r w:rsidRPr="00E8082B">
        <w:rPr>
          <w:rFonts w:asciiTheme="majorHAnsi" w:eastAsia="Times New Roman" w:hAnsiTheme="majorHAnsi" w:cs="Times New Roman"/>
          <w:color w:val="000000"/>
        </w:rPr>
        <w:t>, June 14). Investment in experiential learning opportunities for university students. Retrieved from https://www2.gnb.ca/content/gnb/en/news/news_release.2018.06.0748.html</w:t>
      </w:r>
    </w:p>
    <w:p w14:paraId="0E739944"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Government of New Brunswick. (2018</w:t>
      </w:r>
      <w:r>
        <w:rPr>
          <w:rFonts w:asciiTheme="majorHAnsi" w:eastAsia="Times New Roman" w:hAnsiTheme="majorHAnsi" w:cs="Times New Roman"/>
          <w:color w:val="000000"/>
        </w:rPr>
        <w:t>b</w:t>
      </w:r>
      <w:r w:rsidRPr="00E8082B">
        <w:rPr>
          <w:rFonts w:asciiTheme="majorHAnsi" w:eastAsia="Times New Roman" w:hAnsiTheme="majorHAnsi" w:cs="Times New Roman"/>
          <w:color w:val="000000"/>
        </w:rPr>
        <w:t>, June 22). Funding for experiential education for Indigenous university students. Retrieved from https://www2.gnb.ca/content/gnb/en/news/news_release.2018.06.0814.html</w:t>
      </w:r>
    </w:p>
    <w:p w14:paraId="03CB760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Government of Newfoundland and Labrador. (2009, November 5). Youth Retention and Attraction Strategy officially launched. Retrieved from http://www.releases.gov.nl.ca/releases/2009/exec/1105n03.htm</w:t>
      </w:r>
    </w:p>
    <w:p w14:paraId="2F7BF0D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Government of Newfoundland and Labrador. (2010, January 28). Youth Retention and Attraction Strategy expands internship opportunities for post-secondary students. Retrieved from http://www.releases.gov.nl.ca/releases/2010/hrle/0128n03.htm</w:t>
      </w:r>
    </w:p>
    <w:p w14:paraId="40D24895"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Haldenby, M. (2018, August 30). Research on disability employment gets funding. Retrieved from http://charlatan.ca/2018/08/research-on-disability-employment-gets-funding/</w:t>
      </w:r>
    </w:p>
    <w:p w14:paraId="5E3760FB"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Howard, A., Edge, J., &amp; Watt, D. (2012). </w:t>
      </w:r>
      <w:r w:rsidRPr="0042143D">
        <w:rPr>
          <w:rFonts w:asciiTheme="majorHAnsi" w:eastAsia="Times New Roman" w:hAnsiTheme="majorHAnsi" w:cs="Times New Roman"/>
          <w:i/>
          <w:iCs/>
          <w:color w:val="000000"/>
        </w:rPr>
        <w:t>Understanding the value, challenges, and opportunities of engaging Métis, Inuit, and First Nations workers</w:t>
      </w:r>
      <w:r w:rsidRPr="00E8082B">
        <w:rPr>
          <w:rFonts w:asciiTheme="majorHAnsi" w:eastAsia="Times New Roman" w:hAnsiTheme="majorHAnsi" w:cs="Times New Roman"/>
          <w:color w:val="000000"/>
        </w:rPr>
        <w:t>. Retrieved from Conference Board of Canada website: https://www.conferenceboard.ca/e-library/abstract.aspx?did=4886</w:t>
      </w:r>
    </w:p>
    <w:p w14:paraId="0D9069C2"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Hunt</w:t>
      </w:r>
      <w:r w:rsidRPr="00E8082B">
        <w:rPr>
          <w:rFonts w:asciiTheme="majorHAnsi" w:eastAsia="Times New Roman" w:hAnsiTheme="majorHAnsi" w:cs="American Typewriter"/>
          <w:color w:val="000000"/>
        </w:rPr>
        <w:t>‐</w:t>
      </w:r>
      <w:r w:rsidRPr="00E8082B">
        <w:rPr>
          <w:rFonts w:asciiTheme="majorHAnsi" w:eastAsia="Times New Roman" w:hAnsiTheme="majorHAnsi" w:cs="Times New Roman"/>
          <w:color w:val="000000"/>
        </w:rPr>
        <w:t>Jinnouchi, F., McRae, N., &amp; Nagel, D. (2008). </w:t>
      </w:r>
      <w:r w:rsidRPr="0042143D">
        <w:rPr>
          <w:rFonts w:asciiTheme="majorHAnsi" w:eastAsia="Times New Roman" w:hAnsiTheme="majorHAnsi" w:cs="Times New Roman"/>
          <w:i/>
          <w:iCs/>
          <w:color w:val="000000"/>
        </w:rPr>
        <w:t>Assessing the barriers for Aboriginal students to access and participate in co</w:t>
      </w:r>
      <w:r w:rsidRPr="0042143D">
        <w:rPr>
          <w:rFonts w:asciiTheme="majorHAnsi" w:eastAsia="Times New Roman" w:hAnsiTheme="majorHAnsi" w:cs="American Typewriter"/>
          <w:i/>
          <w:iCs/>
          <w:color w:val="000000"/>
        </w:rPr>
        <w:t>‐</w:t>
      </w:r>
      <w:r w:rsidRPr="0042143D">
        <w:rPr>
          <w:rFonts w:asciiTheme="majorHAnsi" w:eastAsia="Times New Roman" w:hAnsiTheme="majorHAnsi" w:cs="Times New Roman"/>
          <w:i/>
          <w:iCs/>
          <w:color w:val="000000"/>
        </w:rPr>
        <w:t>operative education at UVIC</w:t>
      </w:r>
      <w:r w:rsidRPr="00E8082B">
        <w:rPr>
          <w:rFonts w:asciiTheme="majorHAnsi" w:eastAsia="Times New Roman" w:hAnsiTheme="majorHAnsi" w:cs="Times New Roman"/>
          <w:color w:val="000000"/>
        </w:rPr>
        <w:t>. Victoria, B.C.: University of Victoria.</w:t>
      </w:r>
    </w:p>
    <w:p w14:paraId="7835F284"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Innovative Research Universities. (n.d.). National innovation case study collection: Pathways to dreaming. Retrieved October 5, 2018, from http://app.iru.edu.au/national-innovation-case-study-collection/#browse-by-theme/theme-details/58e5e4e5f0c34552d3e248af/theme-case-study-details/5af05264337e2c2a0c20e2d6/</w:t>
      </w:r>
    </w:p>
    <w:p w14:paraId="48A5B740" w14:textId="77777777" w:rsidR="004303E5" w:rsidRPr="00E8082B" w:rsidRDefault="004303E5" w:rsidP="004303E5">
      <w:pPr>
        <w:shd w:val="clear" w:color="auto" w:fill="FFFFFF"/>
        <w:ind w:left="720" w:right="74"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Jacknife, S. (2017). </w:t>
      </w:r>
      <w:r w:rsidRPr="0042143D">
        <w:rPr>
          <w:rFonts w:asciiTheme="majorHAnsi" w:eastAsia="Times New Roman" w:hAnsiTheme="majorHAnsi" w:cs="Times New Roman"/>
          <w:i/>
          <w:iCs/>
          <w:color w:val="000000"/>
        </w:rPr>
        <w:t>Aboriginal engineering student perspectives and experiences of the engineering co-op program</w:t>
      </w:r>
      <w:r w:rsidRPr="00E8082B">
        <w:rPr>
          <w:rFonts w:asciiTheme="majorHAnsi" w:eastAsia="Times New Roman" w:hAnsiTheme="majorHAnsi" w:cs="Times New Roman"/>
          <w:color w:val="000000"/>
        </w:rPr>
        <w:t>. Kelowna, B.C.: University of British Columbia.</w:t>
      </w:r>
    </w:p>
    <w:p w14:paraId="1873F17D" w14:textId="77777777" w:rsidR="004303E5"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Jothen, K. (2017). </w:t>
      </w:r>
      <w:r w:rsidRPr="0042143D">
        <w:rPr>
          <w:rFonts w:asciiTheme="majorHAnsi" w:eastAsia="Times New Roman" w:hAnsiTheme="majorHAnsi" w:cs="Times New Roman"/>
          <w:i/>
          <w:iCs/>
          <w:color w:val="000000"/>
        </w:rPr>
        <w:t>Human capital policy and practice in British Columbia: Growing the province's economy and potential through talent</w:t>
      </w:r>
      <w:r w:rsidRPr="00E8082B">
        <w:rPr>
          <w:rFonts w:asciiTheme="majorHAnsi" w:eastAsia="Times New Roman" w:hAnsiTheme="majorHAnsi" w:cs="Times New Roman"/>
          <w:color w:val="000000"/>
        </w:rPr>
        <w:t>. Retrieved from Business Counc</w:t>
      </w:r>
      <w:r w:rsidRPr="0042143D">
        <w:rPr>
          <w:rFonts w:asciiTheme="majorHAnsi" w:eastAsia="Times New Roman" w:hAnsiTheme="majorHAnsi" w:cs="Times New Roman"/>
          <w:color w:val="000000"/>
        </w:rPr>
        <w:t xml:space="preserve">il of British Columbia website: </w:t>
      </w:r>
      <w:r w:rsidRPr="00683959">
        <w:rPr>
          <w:rFonts w:asciiTheme="majorHAnsi" w:eastAsia="Times New Roman" w:hAnsiTheme="majorHAnsi" w:cs="Times New Roman"/>
          <w:color w:val="000000"/>
        </w:rPr>
        <w:t>https://www.bcbc.com/publications/2017/human-capital-policy-and-practice-in-british-columbia-growing-the-provinces-economy-and-potential-through-talent</w:t>
      </w:r>
    </w:p>
    <w:p w14:paraId="3303F6B8" w14:textId="77777777" w:rsidR="004303E5" w:rsidRPr="00683959" w:rsidRDefault="004303E5" w:rsidP="004303E5">
      <w:pPr>
        <w:ind w:left="709" w:hanging="709"/>
        <w:rPr>
          <w:rFonts w:asciiTheme="majorHAnsi" w:eastAsia="Times New Roman" w:hAnsiTheme="majorHAnsi" w:cs="Times New Roman"/>
        </w:rPr>
      </w:pPr>
      <w:r w:rsidRPr="00683959">
        <w:rPr>
          <w:rFonts w:asciiTheme="majorHAnsi" w:eastAsia="Times New Roman" w:hAnsiTheme="majorHAnsi" w:cs="Times New Roman"/>
          <w:color w:val="000000"/>
          <w:shd w:val="clear" w:color="auto" w:fill="FFFFFF"/>
        </w:rPr>
        <w:t>Kaye, H. S., Jans, L. H., &amp; Jones, E. C. (2011). Why don’t employers hire and retain workers with disabilities? </w:t>
      </w:r>
      <w:r w:rsidRPr="00683959">
        <w:rPr>
          <w:rFonts w:asciiTheme="majorHAnsi" w:eastAsia="Times New Roman" w:hAnsiTheme="majorHAnsi" w:cs="Times New Roman"/>
          <w:i/>
          <w:iCs/>
          <w:color w:val="000000"/>
          <w:shd w:val="clear" w:color="auto" w:fill="FFFFFF"/>
        </w:rPr>
        <w:t>Journal of Occupational Rehabilitation</w:t>
      </w:r>
      <w:r w:rsidRPr="00683959">
        <w:rPr>
          <w:rFonts w:asciiTheme="majorHAnsi" w:eastAsia="Times New Roman" w:hAnsiTheme="majorHAnsi" w:cs="Times New Roman"/>
          <w:color w:val="000000"/>
          <w:shd w:val="clear" w:color="auto" w:fill="FFFFFF"/>
        </w:rPr>
        <w:t>, </w:t>
      </w:r>
      <w:r w:rsidRPr="00683959">
        <w:rPr>
          <w:rFonts w:asciiTheme="majorHAnsi" w:eastAsia="Times New Roman" w:hAnsiTheme="majorHAnsi" w:cs="Times New Roman"/>
          <w:i/>
          <w:iCs/>
          <w:color w:val="000000"/>
          <w:shd w:val="clear" w:color="auto" w:fill="FFFFFF"/>
        </w:rPr>
        <w:t>21</w:t>
      </w:r>
      <w:r w:rsidRPr="00683959">
        <w:rPr>
          <w:rFonts w:asciiTheme="majorHAnsi" w:eastAsia="Times New Roman" w:hAnsiTheme="majorHAnsi" w:cs="Times New Roman"/>
          <w:color w:val="000000"/>
          <w:shd w:val="clear" w:color="auto" w:fill="FFFFFF"/>
        </w:rPr>
        <w:t>(4), 526-536. doi:10.1007/s10926-011-9302-8</w:t>
      </w:r>
    </w:p>
    <w:p w14:paraId="3A1CAE10" w14:textId="77777777" w:rsidR="004303E5" w:rsidRPr="0042143D"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 xml:space="preserve">Manitoba Government. (n.d.). Paid work experience tax credits. Retrieved from </w:t>
      </w:r>
      <w:r w:rsidRPr="0042143D">
        <w:rPr>
          <w:rFonts w:asciiTheme="majorHAnsi" w:eastAsia="Times New Roman" w:hAnsiTheme="majorHAnsi" w:cs="Times New Roman"/>
        </w:rPr>
        <w:t>http://www.edu.gov.mb.ca/ald/tax_credit/index.html</w:t>
      </w:r>
    </w:p>
    <w:p w14:paraId="794E5EA5" w14:textId="77777777" w:rsidR="004303E5" w:rsidRPr="00E8082B" w:rsidRDefault="004303E5" w:rsidP="004303E5">
      <w:pPr>
        <w:ind w:left="709" w:hanging="709"/>
        <w:rPr>
          <w:rFonts w:asciiTheme="majorHAnsi" w:eastAsia="Times New Roman" w:hAnsiTheme="majorHAnsi" w:cs="Times New Roman"/>
        </w:rPr>
      </w:pPr>
      <w:r w:rsidRPr="0042143D">
        <w:rPr>
          <w:rFonts w:asciiTheme="majorHAnsi" w:eastAsia="Times New Roman" w:hAnsiTheme="majorHAnsi" w:cs="Times New Roman"/>
          <w:color w:val="000000"/>
          <w:shd w:val="clear" w:color="auto" w:fill="FFFFFF"/>
        </w:rPr>
        <w:t>McKean, M., Coburn, V., &amp; MacLaine, C. (2016). </w:t>
      </w:r>
      <w:r w:rsidRPr="0042143D">
        <w:rPr>
          <w:rFonts w:asciiTheme="majorHAnsi" w:eastAsia="Times New Roman" w:hAnsiTheme="majorHAnsi" w:cs="Times New Roman"/>
          <w:i/>
          <w:iCs/>
          <w:color w:val="000000"/>
          <w:shd w:val="clear" w:color="auto" w:fill="FFFFFF"/>
        </w:rPr>
        <w:t>PSE skills for a prosperous British Columbia: 2016 edition</w:t>
      </w:r>
      <w:r w:rsidRPr="0042143D">
        <w:rPr>
          <w:rFonts w:asciiTheme="majorHAnsi" w:eastAsia="Times New Roman" w:hAnsiTheme="majorHAnsi" w:cs="Times New Roman"/>
          <w:color w:val="000000"/>
          <w:shd w:val="clear" w:color="auto" w:fill="FFFFFF"/>
        </w:rPr>
        <w:t>. Retrieved from the Conference Board of Canada website: https://www.conferenceboard.ca/e-library/abstract.aspx?did=8343</w:t>
      </w:r>
    </w:p>
    <w:p w14:paraId="4E91E10B" w14:textId="77777777" w:rsidR="004303E5" w:rsidRDefault="004303E5" w:rsidP="004303E5">
      <w:pPr>
        <w:shd w:val="clear" w:color="auto" w:fill="FFFFFF"/>
        <w:ind w:left="720" w:right="74"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Ministère de l’Éducation, du Loisir et du Sport. (2010). </w:t>
      </w:r>
      <w:r w:rsidRPr="0042143D">
        <w:rPr>
          <w:rFonts w:asciiTheme="majorHAnsi" w:eastAsia="Times New Roman" w:hAnsiTheme="majorHAnsi" w:cs="Times New Roman"/>
          <w:i/>
          <w:iCs/>
          <w:color w:val="000000"/>
        </w:rPr>
        <w:t>Crédit d’impot remboursable pour stage en milieur de travail: Guide administrative</w:t>
      </w:r>
      <w:r w:rsidRPr="00E8082B">
        <w:rPr>
          <w:rFonts w:asciiTheme="majorHAnsi" w:eastAsia="Times New Roman" w:hAnsiTheme="majorHAnsi" w:cs="Times New Roman"/>
          <w:color w:val="000000"/>
        </w:rPr>
        <w:t xml:space="preserve">. Retrieved October 5, 2018, from </w:t>
      </w:r>
      <w:r w:rsidRPr="00D85236">
        <w:rPr>
          <w:rFonts w:asciiTheme="majorHAnsi" w:eastAsia="Times New Roman" w:hAnsiTheme="majorHAnsi" w:cs="Times New Roman"/>
          <w:color w:val="000000"/>
        </w:rPr>
        <w:t>https://www.collegeshawinigan.ca/wp-content/uploads/2014/12/ATE-guide-administratif-credit-impot.pdf</w:t>
      </w:r>
    </w:p>
    <w:p w14:paraId="4D733BA3" w14:textId="77777777" w:rsidR="004303E5" w:rsidRPr="00D85236" w:rsidRDefault="004303E5" w:rsidP="004303E5">
      <w:pPr>
        <w:ind w:left="709" w:hanging="709"/>
        <w:rPr>
          <w:rFonts w:asciiTheme="majorHAnsi" w:eastAsia="Times New Roman" w:hAnsiTheme="majorHAnsi" w:cs="Times New Roman"/>
        </w:rPr>
      </w:pPr>
      <w:r w:rsidRPr="00D85236">
        <w:rPr>
          <w:rFonts w:asciiTheme="majorHAnsi" w:eastAsia="Times New Roman" w:hAnsiTheme="majorHAnsi" w:cs="Times New Roman"/>
          <w:color w:val="000000"/>
          <w:shd w:val="clear" w:color="auto" w:fill="FFFFFF"/>
        </w:rPr>
        <w:t>Murphy, E. (2018, May 7). Ontario establishes $5-Million David C. Onley Initiative for Employment &amp; Enterprise Development at Carleton University. Retrieved from https://newsroom.carleton.ca/2018/ontario-establishes-5-million-david-c-onley-initiative-for-employment-and-enterprise-development-at-carleton-university/</w:t>
      </w:r>
    </w:p>
    <w:p w14:paraId="58C3B17B"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New Ventures BC. (n.d.). Innovate BC - ISI Program: Hire a Student. Retrieved from http://www.newventuresbc.com/accelerate/isi/</w:t>
      </w:r>
    </w:p>
    <w:p w14:paraId="667CB0A5"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Nova Scotia Government. (2018</w:t>
      </w:r>
      <w:r>
        <w:rPr>
          <w:rFonts w:asciiTheme="majorHAnsi" w:eastAsia="Times New Roman" w:hAnsiTheme="majorHAnsi" w:cs="Times New Roman"/>
          <w:color w:val="000000"/>
        </w:rPr>
        <w:t>a</w:t>
      </w:r>
      <w:r w:rsidRPr="00E8082B">
        <w:rPr>
          <w:rFonts w:asciiTheme="majorHAnsi" w:eastAsia="Times New Roman" w:hAnsiTheme="majorHAnsi" w:cs="Times New Roman"/>
          <w:color w:val="000000"/>
        </w:rPr>
        <w:t>). Student employment programs: Cooperative Education Incentive (co-op) program guidelines. Retrieved from https://novascotia.ca/programs/co-op-education-incentive/2018_CO-OP_Program_Guidelines.pdf</w:t>
      </w:r>
    </w:p>
    <w:p w14:paraId="5891988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Nova Scotia Government. (2018</w:t>
      </w:r>
      <w:r>
        <w:rPr>
          <w:rFonts w:asciiTheme="majorHAnsi" w:eastAsia="Times New Roman" w:hAnsiTheme="majorHAnsi" w:cs="Times New Roman"/>
          <w:color w:val="000000"/>
        </w:rPr>
        <w:t>b</w:t>
      </w:r>
      <w:r w:rsidRPr="00E8082B">
        <w:rPr>
          <w:rFonts w:asciiTheme="majorHAnsi" w:eastAsia="Times New Roman" w:hAnsiTheme="majorHAnsi" w:cs="Times New Roman"/>
          <w:color w:val="000000"/>
        </w:rPr>
        <w:t>). Co-op Education Incentive. Retrieved from https://novascotia.ca/programs/co-op-education-incentive/</w:t>
      </w:r>
    </w:p>
    <w:p w14:paraId="64959D8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Pr>
          <w:rFonts w:asciiTheme="majorHAnsi" w:eastAsia="Times New Roman" w:hAnsiTheme="majorHAnsi" w:cs="Times New Roman"/>
          <w:color w:val="000000"/>
        </w:rPr>
        <w:t>Okanagan College. (2016, February 29</w:t>
      </w:r>
      <w:r w:rsidRPr="00E8082B">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Construction craft worker program provides stepping stone onto the jobsite for Aboriginal students</w:t>
      </w:r>
      <w:r w:rsidRPr="00E8082B">
        <w:rPr>
          <w:rFonts w:asciiTheme="majorHAnsi" w:eastAsia="Times New Roman" w:hAnsiTheme="majorHAnsi" w:cs="Times New Roman"/>
          <w:color w:val="000000"/>
        </w:rPr>
        <w:t xml:space="preserve">. Retrieved from </w:t>
      </w:r>
      <w:r w:rsidRPr="00FA0774">
        <w:rPr>
          <w:rFonts w:asciiTheme="majorHAnsi" w:eastAsia="Times New Roman" w:hAnsiTheme="majorHAnsi" w:cs="Times New Roman"/>
          <w:color w:val="000000"/>
        </w:rPr>
        <w:t>https://www.okanagan.bc.ca/Campus_and_Community/employees/publicaffairs/news.html?BlogEntryID=37319</w:t>
      </w:r>
    </w:p>
    <w:p w14:paraId="5AC8409E"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Ontario Government. (1996, May 7). 1996 Ontario Budget: Budget papers. Retrieved from http://www.archives.gov.on.ca/en/historical_documents_project/92-96/ONTARIO_1996_BUDGET.pdf</w:t>
      </w:r>
    </w:p>
    <w:p w14:paraId="4F63D6AC"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Ontario Government. (2018, April 19). Graduated apprenticeship grant for employers. Retrieved from https://www.ontario.ca/page/graduated-apprenticeship-grant-employers</w:t>
      </w:r>
    </w:p>
    <w:p w14:paraId="442F6631" w14:textId="77777777" w:rsidR="004303E5"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Ontario Ministry of Advanced Education and Skills Development. (2017</w:t>
      </w:r>
      <w:r>
        <w:rPr>
          <w:rFonts w:asciiTheme="majorHAnsi" w:eastAsia="Times New Roman" w:hAnsiTheme="majorHAnsi" w:cs="Times New Roman"/>
          <w:color w:val="000000"/>
        </w:rPr>
        <w:t>a</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Career Ready Fund: Part of the Career Kick</w:t>
      </w:r>
      <w:r>
        <w:rPr>
          <w:rFonts w:asciiTheme="majorHAnsi" w:eastAsia="Times New Roman" w:hAnsiTheme="majorHAnsi" w:cs="Times New Roman"/>
          <w:i/>
          <w:iCs/>
          <w:color w:val="000000"/>
        </w:rPr>
        <w:t>-</w:t>
      </w:r>
      <w:r w:rsidRPr="0042143D">
        <w:rPr>
          <w:rFonts w:asciiTheme="majorHAnsi" w:eastAsia="Times New Roman" w:hAnsiTheme="majorHAnsi" w:cs="Times New Roman"/>
          <w:i/>
          <w:iCs/>
          <w:color w:val="000000"/>
        </w:rPr>
        <w:t>start Strategy</w:t>
      </w:r>
      <w:r w:rsidRPr="00E8082B">
        <w:rPr>
          <w:rFonts w:asciiTheme="majorHAnsi" w:eastAsia="Times New Roman" w:hAnsiTheme="majorHAnsi" w:cs="Times New Roman"/>
          <w:color w:val="000000"/>
        </w:rPr>
        <w:t>. Toronto, Ontario: Author.</w:t>
      </w:r>
    </w:p>
    <w:p w14:paraId="69703A3E"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Ontario Ministry of Advanced Education and Skills Development. (2017</w:t>
      </w:r>
      <w:r>
        <w:rPr>
          <w:rFonts w:asciiTheme="majorHAnsi" w:eastAsia="Times New Roman" w:hAnsiTheme="majorHAnsi" w:cs="Times New Roman"/>
          <w:color w:val="000000"/>
        </w:rPr>
        <w:t>b</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Guidelines and Requirements for the Career Ready Fund: Stream 1: University and College Stream</w:t>
      </w:r>
      <w:r w:rsidRPr="00E8082B">
        <w:rPr>
          <w:rFonts w:asciiTheme="majorHAnsi" w:eastAsia="Times New Roman" w:hAnsiTheme="majorHAnsi" w:cs="Times New Roman"/>
          <w:color w:val="000000"/>
        </w:rPr>
        <w:t>. Toronto, Ontario: Author.</w:t>
      </w:r>
    </w:p>
    <w:p w14:paraId="1177519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Ontario Ministry of Finance. (2017, August 31). Co-operative education tax credit. Retrieved from https://www.fin.gov.on.ca/en/credit/cetc/</w:t>
      </w:r>
    </w:p>
    <w:p w14:paraId="2980D083" w14:textId="77777777" w:rsidR="004303E5"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Pardo, P., &amp; Tomlinson, D. (2000). </w:t>
      </w:r>
      <w:r w:rsidRPr="0042143D">
        <w:rPr>
          <w:rFonts w:asciiTheme="majorHAnsi" w:eastAsia="Times New Roman" w:hAnsiTheme="majorHAnsi" w:cs="Times New Roman"/>
          <w:i/>
          <w:iCs/>
          <w:color w:val="000000"/>
        </w:rPr>
        <w:t>Implementing academic accommodations in field/practicum settings</w:t>
      </w:r>
      <w:r w:rsidRPr="00E8082B">
        <w:rPr>
          <w:rFonts w:asciiTheme="majorHAnsi" w:eastAsia="Times New Roman" w:hAnsiTheme="majorHAnsi" w:cs="Times New Roman"/>
          <w:color w:val="000000"/>
        </w:rPr>
        <w:t xml:space="preserve">. Retrieved from </w:t>
      </w:r>
      <w:r w:rsidRPr="00D85236">
        <w:rPr>
          <w:rFonts w:asciiTheme="majorHAnsi" w:eastAsia="Times New Roman" w:hAnsiTheme="majorHAnsi" w:cs="Times New Roman"/>
          <w:color w:val="000000"/>
        </w:rPr>
        <w:t>http://www.mtroyal.ca/cs/groups/public/documents/pdf/implementing_accommodations.pdf</w:t>
      </w:r>
    </w:p>
    <w:p w14:paraId="4DCC0B34" w14:textId="77777777" w:rsidR="004303E5" w:rsidRPr="00D85236" w:rsidRDefault="004303E5" w:rsidP="004303E5">
      <w:pPr>
        <w:ind w:left="709" w:hanging="709"/>
        <w:rPr>
          <w:rFonts w:asciiTheme="majorHAnsi" w:eastAsia="Times New Roman" w:hAnsiTheme="majorHAnsi" w:cs="Times New Roman"/>
        </w:rPr>
      </w:pPr>
      <w:r w:rsidRPr="00D85236">
        <w:rPr>
          <w:rFonts w:asciiTheme="majorHAnsi" w:eastAsia="Times New Roman" w:hAnsiTheme="majorHAnsi" w:cs="Times New Roman"/>
          <w:color w:val="000000"/>
          <w:shd w:val="clear" w:color="auto" w:fill="FFFFFF"/>
        </w:rPr>
        <w:t>Phul, M. (2018, September 3). New initiative aims to create more opportunities for students with disabilities. Retrieved from https://thefulcrum.ca/news/new-initiative-aims-create-opportunities-students-disabilities/</w:t>
      </w:r>
    </w:p>
    <w:p w14:paraId="27D6AD06"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The Premier’s Highly Skilled Workforce Expert Panel. (2016). </w:t>
      </w:r>
      <w:r w:rsidRPr="0042143D">
        <w:rPr>
          <w:rFonts w:asciiTheme="majorHAnsi" w:eastAsia="Times New Roman" w:hAnsiTheme="majorHAnsi" w:cs="Times New Roman"/>
          <w:i/>
          <w:iCs/>
          <w:color w:val="000000"/>
        </w:rPr>
        <w:t>Building the workforce of tomorrow: A shared responsibility</w:t>
      </w:r>
      <w:r w:rsidRPr="00E8082B">
        <w:rPr>
          <w:rFonts w:asciiTheme="majorHAnsi" w:eastAsia="Times New Roman" w:hAnsiTheme="majorHAnsi" w:cs="Times New Roman"/>
          <w:color w:val="000000"/>
        </w:rPr>
        <w:t>. Retrieved from https://www.ontario.ca/page/building-workforce-tomorrow-shared-responsibility</w:t>
      </w:r>
      <w:r w:rsidRPr="00E8082B">
        <w:rPr>
          <w:rFonts w:asciiTheme="majorHAnsi" w:eastAsia="Times New Roman" w:hAnsiTheme="majorHAnsi" w:cs="Times New Roman"/>
          <w:color w:val="000000"/>
        </w:rPr>
        <w:br/>
        <w:t>Report submitted to the Honourable Kathleen Wynne, Premier of Ontario</w:t>
      </w:r>
    </w:p>
    <w:p w14:paraId="71B87E9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Preston, J. P. (2016). Education for Aboriginal peoples in Canada: An overview of four realms of success. </w:t>
      </w:r>
      <w:r w:rsidRPr="0042143D">
        <w:rPr>
          <w:rFonts w:asciiTheme="majorHAnsi" w:eastAsia="Times New Roman" w:hAnsiTheme="majorHAnsi" w:cs="Times New Roman"/>
          <w:i/>
          <w:iCs/>
          <w:color w:val="000000"/>
        </w:rPr>
        <w:t>Diaspora, Indigenous, and Minority Education</w:t>
      </w:r>
      <w:r w:rsidRPr="00E8082B">
        <w:rPr>
          <w:rFonts w:asciiTheme="majorHAnsi" w:eastAsia="Times New Roman" w:hAnsiTheme="majorHAnsi" w:cs="Times New Roman"/>
          <w:color w:val="000000"/>
        </w:rPr>
        <w:t>, </w:t>
      </w:r>
      <w:r w:rsidRPr="0042143D">
        <w:rPr>
          <w:rFonts w:asciiTheme="majorHAnsi" w:eastAsia="Times New Roman" w:hAnsiTheme="majorHAnsi" w:cs="Times New Roman"/>
          <w:i/>
          <w:iCs/>
          <w:color w:val="000000"/>
        </w:rPr>
        <w:t>10</w:t>
      </w:r>
      <w:r w:rsidRPr="00E8082B">
        <w:rPr>
          <w:rFonts w:asciiTheme="majorHAnsi" w:eastAsia="Times New Roman" w:hAnsiTheme="majorHAnsi" w:cs="Times New Roman"/>
          <w:color w:val="000000"/>
        </w:rPr>
        <w:t>(1), 14-27. doi:10.1080/15595692.2015.1084917</w:t>
      </w:r>
    </w:p>
    <w:p w14:paraId="4DDC7424"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Revenu Quebec, Government of Quebec. (2018, August 8). Tax credit for an on-the-job training period. Retrieved from https://canadabusiness.ca/programs/tax-credit-for-an-on-the-job-training-period-1/</w:t>
      </w:r>
    </w:p>
    <w:p w14:paraId="1D605F7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Sattler, P. (2011). </w:t>
      </w:r>
      <w:r w:rsidRPr="0042143D">
        <w:rPr>
          <w:rFonts w:asciiTheme="majorHAnsi" w:eastAsia="Times New Roman" w:hAnsiTheme="majorHAnsi" w:cs="Times New Roman"/>
          <w:i/>
          <w:iCs/>
          <w:color w:val="000000"/>
        </w:rPr>
        <w:t>Work-integrated learning in Ontario's postsecondary sector</w:t>
      </w:r>
      <w:r w:rsidRPr="00E8082B">
        <w:rPr>
          <w:rFonts w:asciiTheme="majorHAnsi" w:eastAsia="Times New Roman" w:hAnsiTheme="majorHAnsi" w:cs="Times New Roman"/>
          <w:color w:val="000000"/>
        </w:rPr>
        <w:t>. Retrieved from Higher Education Quality Council of Ontario (HEQCO) website: http://www.heqco.ca/en-ca/Research/ResPub/Pages/Work-Integrated-Learning-in-Ontario's-Postsecondary-Sector.aspx</w:t>
      </w:r>
    </w:p>
    <w:p w14:paraId="153B68FF"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Sattler, P., &amp; Peters, J. (2012). </w:t>
      </w:r>
      <w:r w:rsidRPr="0042143D">
        <w:rPr>
          <w:rFonts w:asciiTheme="majorHAnsi" w:eastAsia="Times New Roman" w:hAnsiTheme="majorHAnsi" w:cs="Times New Roman"/>
          <w:i/>
          <w:iCs/>
          <w:color w:val="000000"/>
        </w:rPr>
        <w:t>Work-integrated learning and postsecondary graduates: The perspective of Ontario employers</w:t>
      </w:r>
      <w:r w:rsidRPr="00E8082B">
        <w:rPr>
          <w:rFonts w:asciiTheme="majorHAnsi" w:eastAsia="Times New Roman" w:hAnsiTheme="majorHAnsi" w:cs="Times New Roman"/>
          <w:color w:val="000000"/>
        </w:rPr>
        <w:t>. Retrieved from Higher Education Quality Council of Ontario (HEQCO) website: http://www.heqco.ca/en-ca/Research/ResPub/Pages/Work-Integrated-Learning-and-Postsecondary-Graduates-The-Perspective-of-Ontario-Employers.aspx</w:t>
      </w:r>
    </w:p>
    <w:p w14:paraId="2337AF6B"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Sattler, P., &amp; Peters, J. (2013). </w:t>
      </w:r>
      <w:r w:rsidRPr="0042143D">
        <w:rPr>
          <w:rFonts w:asciiTheme="majorHAnsi" w:eastAsia="Times New Roman" w:hAnsiTheme="majorHAnsi" w:cs="Times New Roman"/>
          <w:i/>
          <w:iCs/>
          <w:color w:val="000000"/>
        </w:rPr>
        <w:t>Work-integrated learning in Ontario’s postsecondary sector: The experience of Ontario graduates</w:t>
      </w:r>
      <w:r w:rsidRPr="00E8082B">
        <w:rPr>
          <w:rFonts w:asciiTheme="majorHAnsi" w:eastAsia="Times New Roman" w:hAnsiTheme="majorHAnsi" w:cs="Times New Roman"/>
          <w:color w:val="000000"/>
        </w:rPr>
        <w:t>. Retrieved from Higher Education Quality Council of Ontario (HEQCO) website: http://www.heqco.ca/en-ca/Research/ResPub/Pages/Work-Integrated-Learning-in-Ontarios-Postsecondary-Sector-The-Experience-of-Ontario-Graduates.aspx</w:t>
      </w:r>
    </w:p>
    <w:p w14:paraId="2A5158DD" w14:textId="77777777" w:rsidR="004303E5" w:rsidRPr="00835929" w:rsidRDefault="004303E5" w:rsidP="004303E5">
      <w:pPr>
        <w:ind w:left="709" w:hanging="709"/>
        <w:rPr>
          <w:rFonts w:ascii="Times New Roman" w:eastAsia="Times New Roman" w:hAnsi="Times New Roman" w:cs="Times New Roman"/>
        </w:rPr>
      </w:pPr>
      <w:r w:rsidRPr="00E8082B">
        <w:rPr>
          <w:rFonts w:asciiTheme="majorHAnsi" w:eastAsia="Times New Roman" w:hAnsiTheme="majorHAnsi" w:cs="Times New Roman"/>
          <w:color w:val="000000"/>
        </w:rPr>
        <w:t>Statistics Canada. (2013). </w:t>
      </w:r>
      <w:r w:rsidRPr="0042143D">
        <w:rPr>
          <w:rFonts w:asciiTheme="majorHAnsi" w:eastAsia="Times New Roman" w:hAnsiTheme="majorHAnsi" w:cs="Times New Roman"/>
          <w:i/>
          <w:iCs/>
          <w:color w:val="000000"/>
        </w:rPr>
        <w:t xml:space="preserve">NHS in brief: The educational attainment of Aboriginal peoples in Canada: National Household Survey (NHS), </w:t>
      </w:r>
      <w:r w:rsidRPr="00835929">
        <w:rPr>
          <w:rFonts w:asciiTheme="majorHAnsi" w:eastAsia="Times New Roman" w:hAnsiTheme="majorHAnsi" w:cs="Times New Roman"/>
          <w:i/>
          <w:iCs/>
          <w:color w:val="000000"/>
        </w:rPr>
        <w:t>2011</w:t>
      </w:r>
      <w:r w:rsidRPr="00835929">
        <w:rPr>
          <w:rFonts w:asciiTheme="majorHAnsi" w:eastAsia="Times New Roman" w:hAnsiTheme="majorHAnsi" w:cs="Times New Roman"/>
          <w:color w:val="000000"/>
        </w:rPr>
        <w:t xml:space="preserve">. </w:t>
      </w:r>
      <w:r w:rsidRPr="00835929">
        <w:rPr>
          <w:rFonts w:asciiTheme="majorHAnsi" w:eastAsia="Times New Roman" w:hAnsiTheme="majorHAnsi" w:cs="Times New Roman"/>
        </w:rPr>
        <w:t xml:space="preserve">Catalogue no. 99-012-X2011003. </w:t>
      </w:r>
      <w:r w:rsidRPr="00835929">
        <w:rPr>
          <w:rFonts w:asciiTheme="majorHAnsi" w:eastAsia="Times New Roman" w:hAnsiTheme="majorHAnsi" w:cs="Times New Roman"/>
          <w:color w:val="000000"/>
        </w:rPr>
        <w:t>Retrieved from</w:t>
      </w:r>
      <w:r w:rsidRPr="00E8082B">
        <w:rPr>
          <w:rFonts w:asciiTheme="majorHAnsi" w:eastAsia="Times New Roman" w:hAnsiTheme="majorHAnsi" w:cs="Times New Roman"/>
          <w:color w:val="000000"/>
        </w:rPr>
        <w:t xml:space="preserve"> https://www12.statcan.gc.ca/nhs-enm/2011/as-sa/99-012-x/99-012-x2011003_3-eng.cfm</w:t>
      </w:r>
    </w:p>
    <w:p w14:paraId="0DCAEA95" w14:textId="77777777" w:rsidR="004303E5" w:rsidRPr="00835929" w:rsidRDefault="004303E5" w:rsidP="004303E5">
      <w:pPr>
        <w:ind w:left="709" w:hanging="709"/>
        <w:rPr>
          <w:rFonts w:ascii="Times New Roman" w:eastAsia="Times New Roman" w:hAnsi="Times New Roman" w:cs="Times New Roman"/>
        </w:rPr>
      </w:pPr>
      <w:r w:rsidRPr="00E8082B">
        <w:rPr>
          <w:rFonts w:asciiTheme="majorHAnsi" w:eastAsia="Times New Roman" w:hAnsiTheme="majorHAnsi" w:cs="Times New Roman"/>
          <w:color w:val="000000"/>
        </w:rPr>
        <w:t>Statistics Canada. (2013). </w:t>
      </w:r>
      <w:r w:rsidRPr="0042143D">
        <w:rPr>
          <w:rFonts w:asciiTheme="majorHAnsi" w:eastAsia="Times New Roman" w:hAnsiTheme="majorHAnsi" w:cs="Times New Roman"/>
          <w:i/>
          <w:iCs/>
          <w:color w:val="000000"/>
        </w:rPr>
        <w:t xml:space="preserve">Analytical document: Aboriginal peoples in Canada: First Nations people, Métis and Inuit: National Households Survey, </w:t>
      </w:r>
      <w:r w:rsidRPr="00835929">
        <w:rPr>
          <w:rFonts w:asciiTheme="majorHAnsi" w:eastAsia="Times New Roman" w:hAnsiTheme="majorHAnsi" w:cs="Times New Roman"/>
          <w:i/>
          <w:iCs/>
          <w:color w:val="000000"/>
        </w:rPr>
        <w:t>2011</w:t>
      </w:r>
      <w:r w:rsidRPr="00835929">
        <w:rPr>
          <w:rFonts w:asciiTheme="majorHAnsi" w:eastAsia="Times New Roman" w:hAnsiTheme="majorHAnsi" w:cs="Times New Roman"/>
          <w:color w:val="000000"/>
        </w:rPr>
        <w:t xml:space="preserve">. </w:t>
      </w:r>
      <w:r w:rsidRPr="00835929">
        <w:rPr>
          <w:rFonts w:asciiTheme="majorHAnsi" w:eastAsia="Times New Roman" w:hAnsiTheme="majorHAnsi" w:cs="Times New Roman"/>
        </w:rPr>
        <w:t>Catalogue no. 99-011-X2011001.</w:t>
      </w:r>
      <w:r>
        <w:rPr>
          <w:rFonts w:ascii="Times New Roman" w:eastAsia="Times New Roman" w:hAnsi="Times New Roman" w:cs="Times New Roman"/>
        </w:rPr>
        <w:t xml:space="preserve"> </w:t>
      </w:r>
      <w:r w:rsidRPr="00E8082B">
        <w:rPr>
          <w:rFonts w:asciiTheme="majorHAnsi" w:eastAsia="Times New Roman" w:hAnsiTheme="majorHAnsi" w:cs="Times New Roman"/>
          <w:color w:val="000000"/>
        </w:rPr>
        <w:t>Retrieved from https://www12.statcan.gc.ca/nhs-enm/2011/as-sa/99-011-x/99-011-x2011001-eng.cfm</w:t>
      </w:r>
    </w:p>
    <w:p w14:paraId="3C9616DE"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Task Force on Experiential Education. (2016). </w:t>
      </w:r>
      <w:r w:rsidRPr="0042143D">
        <w:rPr>
          <w:rFonts w:asciiTheme="majorHAnsi" w:eastAsia="Times New Roman" w:hAnsiTheme="majorHAnsi" w:cs="Times New Roman"/>
          <w:i/>
          <w:iCs/>
          <w:color w:val="000000"/>
        </w:rPr>
        <w:t>Final report of the Task Force on Experiential Education</w:t>
      </w:r>
      <w:r w:rsidRPr="00E8082B">
        <w:rPr>
          <w:rFonts w:asciiTheme="majorHAnsi" w:eastAsia="Times New Roman" w:hAnsiTheme="majorHAnsi" w:cs="Times New Roman"/>
          <w:color w:val="000000"/>
        </w:rPr>
        <w:t>. Retrieved from https://www.unb.ca/president/_assets/documents/eefinalreport2016.pdf</w:t>
      </w:r>
    </w:p>
    <w:p w14:paraId="64F81A16"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Till, M., Leonard, T., Yeung, S., &amp; Nicholls, G. (2015). </w:t>
      </w:r>
      <w:r w:rsidRPr="0042143D">
        <w:rPr>
          <w:rFonts w:asciiTheme="majorHAnsi" w:eastAsia="Times New Roman" w:hAnsiTheme="majorHAnsi" w:cs="Times New Roman"/>
          <w:i/>
          <w:iCs/>
          <w:color w:val="000000"/>
        </w:rPr>
        <w:t>Canadian survey on disability, 2012: A profile of the labour market experiences of adults with disabilities among Canadians aged 15 years and older 2012</w:t>
      </w:r>
      <w:r w:rsidRPr="00E8082B">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 xml:space="preserve">Statistics Canada catalogue no. 89-654-X2015005. </w:t>
      </w:r>
      <w:r w:rsidRPr="00E8082B">
        <w:rPr>
          <w:rFonts w:asciiTheme="majorHAnsi" w:eastAsia="Times New Roman" w:hAnsiTheme="majorHAnsi" w:cs="Times New Roman"/>
          <w:color w:val="000000"/>
        </w:rPr>
        <w:t>Retrieved from https://www150.statcan.gc.ca/n1/pub/89-654-x/89-654-x2015005-eng.htm</w:t>
      </w:r>
    </w:p>
    <w:p w14:paraId="1D0DBD39"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Timmons, V., Doyle-Bedwell, P., Lewey, L., Marshall, L., Power, B., Sable, T., &amp; Wein, F. (2009). Retention of Aboriginal students in post-secondary institutions in Atlantic Canada: An analysis of the supports available to Aboriginal students. </w:t>
      </w:r>
      <w:r w:rsidRPr="0042143D">
        <w:rPr>
          <w:rFonts w:asciiTheme="majorHAnsi" w:eastAsia="Times New Roman" w:hAnsiTheme="majorHAnsi" w:cs="Times New Roman"/>
          <w:i/>
          <w:iCs/>
          <w:color w:val="000000"/>
        </w:rPr>
        <w:t>SSRN Electronic Journal</w:t>
      </w:r>
      <w:r w:rsidRPr="00E8082B">
        <w:rPr>
          <w:rFonts w:asciiTheme="majorHAnsi" w:eastAsia="Times New Roman" w:hAnsiTheme="majorHAnsi" w:cs="Times New Roman"/>
          <w:color w:val="000000"/>
        </w:rPr>
        <w:t>. doi:10.2139/ssrn.1530293</w:t>
      </w:r>
    </w:p>
    <w:p w14:paraId="3320F785"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Truth and Reconciliation Commission of Canada. (2015). </w:t>
      </w:r>
      <w:r w:rsidRPr="0042143D">
        <w:rPr>
          <w:rFonts w:asciiTheme="majorHAnsi" w:eastAsia="Times New Roman" w:hAnsiTheme="majorHAnsi" w:cs="Times New Roman"/>
          <w:i/>
          <w:iCs/>
          <w:color w:val="000000"/>
        </w:rPr>
        <w:t>Truth and Reconciliation Commission of Canada: Calls to action</w:t>
      </w:r>
      <w:r w:rsidRPr="00E8082B">
        <w:rPr>
          <w:rFonts w:asciiTheme="majorHAnsi" w:eastAsia="Times New Roman" w:hAnsiTheme="majorHAnsi" w:cs="Times New Roman"/>
          <w:color w:val="000000"/>
        </w:rPr>
        <w:t>. Retrieved from http://www.trc.ca/websites/trcinstitution/File/2015/Findings/Calls_to_Action_English2.pdf</w:t>
      </w:r>
    </w:p>
    <w:p w14:paraId="3FEF8D25"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Turcotte, J., Nichols, L., &amp; Philipps, L. (2016). </w:t>
      </w:r>
      <w:r w:rsidRPr="0042143D">
        <w:rPr>
          <w:rFonts w:asciiTheme="majorHAnsi" w:eastAsia="Times New Roman" w:hAnsiTheme="majorHAnsi" w:cs="Times New Roman"/>
          <w:i/>
          <w:iCs/>
          <w:color w:val="000000"/>
        </w:rPr>
        <w:t>Maximizing opportunity, mitigating risk: Aligning law, policy and practice to strengthen work-integrated learning in Ontario</w:t>
      </w:r>
      <w:r w:rsidRPr="00E8082B">
        <w:rPr>
          <w:rFonts w:asciiTheme="majorHAnsi" w:eastAsia="Times New Roman" w:hAnsiTheme="majorHAnsi" w:cs="Times New Roman"/>
          <w:color w:val="000000"/>
        </w:rPr>
        <w:t>. Retrieved from Higher Education Quality Council of Ontario (HEQCO) website: http://www.heqco.ca/en-ca/Research/ResPub/Pages/Maximizing-Opportunity-Mitigating-Risk-Aligning-Law-Policy-and-Practice-to-Strengthen-Work-Integrated-Learning-in-Ontario.aspx</w:t>
      </w:r>
    </w:p>
    <w:p w14:paraId="6406AB17"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Turcotte, M. (2014). </w:t>
      </w:r>
      <w:r w:rsidRPr="0042143D">
        <w:rPr>
          <w:rFonts w:asciiTheme="majorHAnsi" w:eastAsia="Times New Roman" w:hAnsiTheme="majorHAnsi" w:cs="Times New Roman"/>
          <w:i/>
          <w:iCs/>
          <w:color w:val="000000"/>
        </w:rPr>
        <w:t>Insights on Canadian society: Persons with disabilities and employment</w:t>
      </w:r>
      <w:r w:rsidRPr="00E8082B">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Statistics Canada c</w:t>
      </w:r>
      <w:r w:rsidRPr="00835929">
        <w:rPr>
          <w:rFonts w:asciiTheme="majorHAnsi" w:eastAsia="Times New Roman" w:hAnsiTheme="majorHAnsi" w:cs="Times New Roman"/>
          <w:color w:val="000000"/>
        </w:rPr>
        <w:t>atalogue no. 75-006-X</w:t>
      </w:r>
      <w:r>
        <w:rPr>
          <w:rFonts w:asciiTheme="majorHAnsi" w:eastAsia="Times New Roman" w:hAnsiTheme="majorHAnsi" w:cs="Times New Roman"/>
          <w:color w:val="000000"/>
        </w:rPr>
        <w:t xml:space="preserve">. </w:t>
      </w:r>
      <w:r w:rsidRPr="00E8082B">
        <w:rPr>
          <w:rFonts w:asciiTheme="majorHAnsi" w:eastAsia="Times New Roman" w:hAnsiTheme="majorHAnsi" w:cs="Times New Roman"/>
          <w:color w:val="000000"/>
        </w:rPr>
        <w:t>Retrieved from https://www150.statcan.gc.ca/n1/pub/75-006-x/2014001/article/14115-eng.htm</w:t>
      </w:r>
    </w:p>
    <w:p w14:paraId="6EDE8BB6"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Universities Canada. (2014, November 18). Co-op and internship students a valuable source of new talent - survey. Retrieved from https://www.univcan.ca/media-room/media-releases/co-op-and-internship-students-a-valuable-source-of-new-talent-survey/</w:t>
      </w:r>
    </w:p>
    <w:p w14:paraId="6AA2B6B5" w14:textId="77777777" w:rsidR="004303E5" w:rsidRDefault="004303E5" w:rsidP="004303E5">
      <w:pPr>
        <w:shd w:val="clear" w:color="auto" w:fill="FFFFFF"/>
        <w:ind w:left="720" w:right="74"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 xml:space="preserve">University of Manitoba. (2018, June 19). CSL committing to decolonize community engagement and service-learning. Retrieved from </w:t>
      </w:r>
      <w:r w:rsidRPr="00915AD0">
        <w:rPr>
          <w:rFonts w:asciiTheme="majorHAnsi" w:eastAsia="Times New Roman" w:hAnsiTheme="majorHAnsi" w:cs="Times New Roman"/>
          <w:color w:val="000000"/>
        </w:rPr>
        <w:t>http://news.umanitoba.ca/csl-committing-to-decolonize-community-engagement-and-service-learning/</w:t>
      </w:r>
    </w:p>
    <w:p w14:paraId="7F4825AD" w14:textId="77777777" w:rsidR="004303E5" w:rsidRPr="00915AD0" w:rsidRDefault="004303E5" w:rsidP="004303E5">
      <w:pPr>
        <w:shd w:val="clear" w:color="auto" w:fill="FFFFFF"/>
        <w:ind w:left="720" w:right="74" w:hanging="720"/>
        <w:rPr>
          <w:rFonts w:asciiTheme="majorHAnsi" w:hAnsiTheme="majorHAnsi" w:cs="Times New Roman"/>
          <w:color w:val="000000"/>
        </w:rPr>
      </w:pPr>
      <w:r w:rsidRPr="00943B5C">
        <w:rPr>
          <w:rFonts w:asciiTheme="majorHAnsi" w:hAnsiTheme="majorHAnsi" w:cs="Times New Roman"/>
          <w:color w:val="000000"/>
        </w:rPr>
        <w:t>University of Manitoba. (n.d.). Indigenous Initiatives Fund. Retrieved from http://umanitoba.ca/admin/indigenous_connect/Indigenous-Initiatives-Fund.html</w:t>
      </w:r>
    </w:p>
    <w:p w14:paraId="0DDA5B95"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University of New Brunswick Student Union. (2018). Funding announced for NB student experiential learning. Retrieved from https://www.unbsu.ca/news/2018/experientialfunding</w:t>
      </w:r>
    </w:p>
    <w:p w14:paraId="0CF80ED1" w14:textId="77777777" w:rsidR="004303E5" w:rsidRPr="00E8082B" w:rsidRDefault="004303E5" w:rsidP="004303E5">
      <w:pPr>
        <w:shd w:val="clear" w:color="auto" w:fill="FFFFFF"/>
        <w:ind w:left="720" w:right="75" w:hanging="720"/>
        <w:rPr>
          <w:rFonts w:asciiTheme="majorHAnsi" w:eastAsia="Times New Roman" w:hAnsiTheme="majorHAnsi" w:cs="Times New Roman"/>
          <w:color w:val="000000"/>
        </w:rPr>
      </w:pPr>
      <w:r w:rsidRPr="00E8082B">
        <w:rPr>
          <w:rFonts w:asciiTheme="majorHAnsi" w:eastAsia="Times New Roman" w:hAnsiTheme="majorHAnsi" w:cs="Times New Roman"/>
          <w:color w:val="000000"/>
        </w:rPr>
        <w:t>University of Victoria. (2018). Co-op and career support for Indigenous students. Retrieved from https://www.uvic.ca/coopandcareer/co-op/indigenous/index.php</w:t>
      </w:r>
    </w:p>
    <w:p w14:paraId="59D92398" w14:textId="77777777" w:rsidR="00671075" w:rsidRDefault="00671075">
      <w:pPr>
        <w:rPr>
          <w:i/>
          <w:smallCaps/>
          <w:color w:val="1F497D"/>
          <w:sz w:val="32"/>
          <w:szCs w:val="32"/>
        </w:rPr>
      </w:pPr>
      <w:bookmarkStart w:id="21" w:name="_Toc403133211"/>
      <w:r>
        <w:rPr>
          <w:i/>
        </w:rPr>
        <w:br w:type="page"/>
      </w:r>
    </w:p>
    <w:p w14:paraId="6853981E" w14:textId="2ACEC7F1" w:rsidR="00F91B43" w:rsidRPr="003A7441" w:rsidRDefault="008267C3" w:rsidP="003A7441">
      <w:pPr>
        <w:pStyle w:val="HeadingE1"/>
      </w:pPr>
      <w:r w:rsidRPr="003A7441">
        <w:t>Appendices</w:t>
      </w:r>
      <w:bookmarkEnd w:id="21"/>
    </w:p>
    <w:p w14:paraId="69FF930F" w14:textId="77777777" w:rsidR="00F91B43" w:rsidRDefault="008267C3" w:rsidP="003A7441">
      <w:pPr>
        <w:pStyle w:val="HeadingE3"/>
        <w:spacing w:after="240"/>
      </w:pPr>
      <w:bookmarkStart w:id="22" w:name="_Toc403133212"/>
      <w:r>
        <w:t>Appendix A – CEWIL WIL definition</w:t>
      </w:r>
      <w:bookmarkEnd w:id="22"/>
    </w:p>
    <w:p w14:paraId="0CB9A754" w14:textId="77777777" w:rsidR="00F91B43" w:rsidRDefault="008267C3">
      <w:pPr>
        <w:pStyle w:val="Normal1"/>
        <w:pBdr>
          <w:top w:val="nil"/>
          <w:left w:val="nil"/>
          <w:bottom w:val="nil"/>
          <w:right w:val="nil"/>
          <w:between w:val="nil"/>
        </w:pBdr>
        <w:jc w:val="both"/>
        <w:rPr>
          <w:b/>
          <w:color w:val="000000"/>
        </w:rPr>
      </w:pPr>
      <w:r>
        <w:rPr>
          <w:b/>
          <w:color w:val="000000"/>
        </w:rPr>
        <w:t>Co-operative Education and Work-integrated Learning (CEWIL) Canada Revised Drafting of WIL definition, June 2018:</w:t>
      </w:r>
    </w:p>
    <w:p w14:paraId="4955052D" w14:textId="77777777" w:rsidR="00F91B43" w:rsidRDefault="008267C3">
      <w:pPr>
        <w:pStyle w:val="Normal1"/>
        <w:pBdr>
          <w:top w:val="nil"/>
          <w:left w:val="nil"/>
          <w:bottom w:val="nil"/>
          <w:right w:val="nil"/>
          <w:between w:val="nil"/>
        </w:pBdr>
        <w:jc w:val="both"/>
        <w:rPr>
          <w:color w:val="000000"/>
        </w:rPr>
      </w:pPr>
      <w:r>
        <w:rPr>
          <w:color w:val="000000"/>
        </w:rPr>
        <w:t>Work-integrated learning is a model and process of curricular experiential education which formally and intentionally integrates a student’s academic studies within a workplace or practice setting.  WIL experiences include an engaged partnership of at least: an academic institution, a host organization and a student. WIL can occur at the course or program level and includes the development of learning outcomes related to employability, personal agency and life-long learning.</w:t>
      </w:r>
    </w:p>
    <w:p w14:paraId="5DB46A02" w14:textId="77777777" w:rsidR="00F91B43" w:rsidRDefault="008267C3">
      <w:pPr>
        <w:pStyle w:val="Normal1"/>
        <w:pBdr>
          <w:top w:val="nil"/>
          <w:left w:val="nil"/>
          <w:bottom w:val="nil"/>
          <w:right w:val="nil"/>
          <w:between w:val="nil"/>
        </w:pBdr>
        <w:jc w:val="both"/>
        <w:rPr>
          <w:color w:val="000000"/>
        </w:rPr>
      </w:pPr>
      <w:r>
        <w:rPr>
          <w:color w:val="000000"/>
        </w:rPr>
        <w:t>Below are the various types of WIL and their typical attributes:</w:t>
      </w:r>
    </w:p>
    <w:p w14:paraId="6D53C6AF" w14:textId="77777777" w:rsidR="00F91B43" w:rsidRDefault="008267C3">
      <w:pPr>
        <w:pStyle w:val="Normal1"/>
        <w:widowControl w:val="0"/>
        <w:pBdr>
          <w:top w:val="nil"/>
          <w:left w:val="nil"/>
          <w:bottom w:val="nil"/>
          <w:right w:val="nil"/>
          <w:between w:val="nil"/>
        </w:pBdr>
        <w:spacing w:after="120"/>
        <w:jc w:val="both"/>
        <w:rPr>
          <w:color w:val="000000"/>
        </w:rPr>
      </w:pPr>
      <w:r>
        <w:rPr>
          <w:b/>
          <w:color w:val="000000"/>
        </w:rPr>
        <w:t>1. Apprenticeship</w:t>
      </w:r>
      <w:r>
        <w:rPr>
          <w:color w:val="000000"/>
        </w:rPr>
        <w:t>: Apprenticeship is an agreement between a person (an apprentice) who wants to learn a skill and an employer who needs a skilled worker and who is willing to sponsor the apprentice and provide paid related practical experience under the direction of an ITA qualified individual in a work environment conducive to learning the tasks, activities and functions of a skilled worker.  Apprenticeship combines about 80% at-the-workplace experience with 20% technical classroom training, and depending on the trade, takes about 2-5 years to complete.  Both the workplace experience and the technical training are essential components of the learning experience. </w:t>
      </w:r>
    </w:p>
    <w:p w14:paraId="41FA205C" w14:textId="77777777" w:rsidR="00F91B43" w:rsidRDefault="008267C3">
      <w:pPr>
        <w:pStyle w:val="Normal1"/>
        <w:widowControl w:val="0"/>
        <w:pBdr>
          <w:top w:val="nil"/>
          <w:left w:val="nil"/>
          <w:bottom w:val="nil"/>
          <w:right w:val="nil"/>
          <w:between w:val="nil"/>
        </w:pBdr>
        <w:jc w:val="both"/>
        <w:rPr>
          <w:color w:val="000000"/>
        </w:rPr>
      </w:pPr>
      <w:r>
        <w:rPr>
          <w:b/>
          <w:color w:val="000000"/>
        </w:rPr>
        <w:t>2. Co-operative Education (co-op alternating and co-op internship models)</w:t>
      </w:r>
      <w:r>
        <w:rPr>
          <w:color w:val="000000"/>
        </w:rPr>
        <w:t>: Co-op alternating consists of alternating academic terms and paid work terms. Co-op internship consists of several co-op work terms back-to-back. In both models, work terms provide experience in a workplace setting related to the student’s field of study.  The number of required work terms varies by program; however, the time spent in work terms must be at least 30% of the time spent in academic study for programs over 2 years in length and 25% of time for programs 2 years and shorter in length. </w:t>
      </w:r>
    </w:p>
    <w:p w14:paraId="33B83BC5" w14:textId="77777777" w:rsidR="00F91B43" w:rsidRDefault="008267C3">
      <w:pPr>
        <w:pStyle w:val="Normal1"/>
        <w:widowControl w:val="0"/>
        <w:pBdr>
          <w:top w:val="nil"/>
          <w:left w:val="nil"/>
          <w:bottom w:val="nil"/>
          <w:right w:val="nil"/>
          <w:between w:val="nil"/>
        </w:pBdr>
        <w:jc w:val="both"/>
        <w:rPr>
          <w:color w:val="000000"/>
        </w:rPr>
      </w:pPr>
      <w:r>
        <w:rPr>
          <w:b/>
          <w:color w:val="000000"/>
        </w:rPr>
        <w:t>3. Internships</w:t>
      </w:r>
      <w:r>
        <w:rPr>
          <w:color w:val="000000"/>
        </w:rPr>
        <w:t>: Offers usually one discipline specific, supervised, structured paid or unpaid, and for academic credit work experience or practice placement.  Internships may occur in the middle of an academic program or after all academic coursework has been completed and prior to graduation. Internships can be of any length but are typically 12 to 16 months long. </w:t>
      </w:r>
    </w:p>
    <w:p w14:paraId="3DD9BFF2" w14:textId="77777777" w:rsidR="00F91B43" w:rsidRDefault="008267C3">
      <w:pPr>
        <w:pStyle w:val="Normal1"/>
        <w:widowControl w:val="0"/>
        <w:pBdr>
          <w:top w:val="nil"/>
          <w:left w:val="nil"/>
          <w:bottom w:val="nil"/>
          <w:right w:val="nil"/>
          <w:between w:val="nil"/>
        </w:pBdr>
        <w:jc w:val="both"/>
        <w:rPr>
          <w:color w:val="000000"/>
        </w:rPr>
      </w:pPr>
      <w:r>
        <w:rPr>
          <w:b/>
          <w:color w:val="000000"/>
        </w:rPr>
        <w:t xml:space="preserve">4. Entrepreneurship: </w:t>
      </w:r>
      <w:r>
        <w:rPr>
          <w:color w:val="000000"/>
        </w:rPr>
        <w:t xml:space="preserve"> </w:t>
      </w:r>
      <w:r w:rsidRPr="003B73E3">
        <w:rPr>
          <w:color w:val="0D0D0D" w:themeColor="text1" w:themeTint="F2"/>
        </w:rPr>
        <w:t>Allows a student to leverage resources, space, mentorship and/or funding to engage in the early-stage development of business start-ups and/or to advance external ideas that address real-world needs for academic credit.</w:t>
      </w:r>
    </w:p>
    <w:p w14:paraId="65A57669" w14:textId="77777777" w:rsidR="00F91B43" w:rsidRDefault="008267C3">
      <w:pPr>
        <w:pStyle w:val="Normal1"/>
        <w:widowControl w:val="0"/>
        <w:pBdr>
          <w:top w:val="nil"/>
          <w:left w:val="nil"/>
          <w:bottom w:val="nil"/>
          <w:right w:val="nil"/>
          <w:between w:val="nil"/>
        </w:pBdr>
        <w:jc w:val="both"/>
        <w:rPr>
          <w:color w:val="000000"/>
        </w:rPr>
      </w:pPr>
      <w:r>
        <w:rPr>
          <w:b/>
          <w:color w:val="000000"/>
        </w:rPr>
        <w:t>5. Service Learning</w:t>
      </w:r>
      <w:r>
        <w:rPr>
          <w:color w:val="000000"/>
        </w:rPr>
        <w:t xml:space="preserve">: Community Service Learning (CSL) integrates meaningful community service with </w:t>
      </w:r>
      <w:r>
        <w:rPr>
          <w:color w:val="000000"/>
          <w:u w:val="single"/>
        </w:rPr>
        <w:t>classroom instruction</w:t>
      </w:r>
      <w:r>
        <w:rPr>
          <w:color w:val="000000"/>
        </w:rPr>
        <w:t xml:space="preserve"> and critical reflection to enrich the learning experience and strengthen communities. In practice, students work in partnership with a community based organization to apply their disciplinary knowledge to a challenge identified by the community. </w:t>
      </w:r>
    </w:p>
    <w:p w14:paraId="17BC8FA3" w14:textId="77777777" w:rsidR="00F91B43" w:rsidRDefault="008267C3">
      <w:pPr>
        <w:pStyle w:val="Normal1"/>
        <w:widowControl w:val="0"/>
        <w:pBdr>
          <w:top w:val="nil"/>
          <w:left w:val="nil"/>
          <w:bottom w:val="nil"/>
          <w:right w:val="nil"/>
          <w:between w:val="nil"/>
        </w:pBdr>
        <w:jc w:val="both"/>
        <w:rPr>
          <w:color w:val="000000"/>
        </w:rPr>
      </w:pPr>
      <w:r>
        <w:rPr>
          <w:b/>
          <w:color w:val="000000"/>
        </w:rPr>
        <w:t>6. Applied Research Projects</w:t>
      </w:r>
      <w:r>
        <w:rPr>
          <w:color w:val="000000"/>
        </w:rPr>
        <w:t>: Students are engaged in research that occurs primarily in workplaces, includes: consulting projects, design projects, community-based research projects</w:t>
      </w:r>
    </w:p>
    <w:p w14:paraId="37DF0C80" w14:textId="77777777" w:rsidR="00F91B43" w:rsidRDefault="008267C3">
      <w:pPr>
        <w:pStyle w:val="Normal1"/>
        <w:widowControl w:val="0"/>
        <w:pBdr>
          <w:top w:val="nil"/>
          <w:left w:val="nil"/>
          <w:bottom w:val="nil"/>
          <w:right w:val="nil"/>
          <w:between w:val="nil"/>
        </w:pBdr>
        <w:jc w:val="both"/>
        <w:rPr>
          <w:color w:val="000000"/>
        </w:rPr>
      </w:pPr>
      <w:r>
        <w:rPr>
          <w:b/>
          <w:color w:val="000000"/>
        </w:rPr>
        <w:t>7. Mandatory Professional Practicum/Clinical Placement</w:t>
      </w:r>
      <w:r>
        <w:rPr>
          <w:color w:val="000000"/>
        </w:rPr>
        <w:t>: Involves work experience under the supervision of an experienced registered or licensed professional (e.g. preceptor) in any discipline that requires practice-based work experience for professional licensure or certification. Practica are generally unpaid and, as the work is done in a supervised setting, typically students do not have their own workload/caseload.</w:t>
      </w:r>
    </w:p>
    <w:p w14:paraId="02EF4B64" w14:textId="77777777" w:rsidR="00F91B43" w:rsidRDefault="008267C3">
      <w:pPr>
        <w:pStyle w:val="Normal1"/>
        <w:widowControl w:val="0"/>
        <w:pBdr>
          <w:top w:val="nil"/>
          <w:left w:val="nil"/>
          <w:bottom w:val="nil"/>
          <w:right w:val="nil"/>
          <w:between w:val="nil"/>
        </w:pBdr>
        <w:jc w:val="both"/>
        <w:rPr>
          <w:color w:val="000000"/>
        </w:rPr>
      </w:pPr>
      <w:r>
        <w:rPr>
          <w:b/>
          <w:color w:val="000000"/>
        </w:rPr>
        <w:t>8. Field Placement</w:t>
      </w:r>
      <w:r>
        <w:rPr>
          <w:color w:val="000000"/>
        </w:rPr>
        <w:t xml:space="preserve">: Provides students with an intensive part-time/short term intensive hands-on practical experience in a setting relevant to their subject of study. Field placements may not require supervision of a registered or licensed professional and the completed work experience hours are not required for professional certification. Field placements account for work-integrated educational experiences not encompassed by other forms, such as co-op, clinic, practicum, and </w:t>
      </w:r>
      <w:r w:rsidR="00CF6725">
        <w:rPr>
          <w:color w:val="000000"/>
        </w:rPr>
        <w:t>internship.</w:t>
      </w:r>
    </w:p>
    <w:p w14:paraId="312BFA58" w14:textId="77777777" w:rsidR="00F91B43" w:rsidRDefault="008267C3" w:rsidP="00CF6725">
      <w:pPr>
        <w:pStyle w:val="Normal1"/>
        <w:widowControl w:val="0"/>
        <w:pBdr>
          <w:top w:val="nil"/>
          <w:left w:val="nil"/>
          <w:bottom w:val="nil"/>
          <w:right w:val="nil"/>
          <w:between w:val="nil"/>
        </w:pBdr>
        <w:jc w:val="both"/>
        <w:rPr>
          <w:color w:val="000000"/>
        </w:rPr>
      </w:pPr>
      <w:r>
        <w:rPr>
          <w:b/>
          <w:color w:val="000000"/>
        </w:rPr>
        <w:t>9. Work Experience</w:t>
      </w:r>
      <w:r>
        <w:rPr>
          <w:color w:val="000000"/>
        </w:rPr>
        <w:t xml:space="preserve">: Intersperses one or two work terms (typically full-time) into an academic program, where work terms provide experience in a workplace setting related to the student’s field of study and/or career goals. </w:t>
      </w:r>
    </w:p>
    <w:p w14:paraId="7F2FD297" w14:textId="77777777" w:rsidR="00F91B43" w:rsidRDefault="00F91B43">
      <w:pPr>
        <w:pStyle w:val="Normal1"/>
        <w:pBdr>
          <w:top w:val="nil"/>
          <w:left w:val="nil"/>
          <w:bottom w:val="nil"/>
          <w:right w:val="nil"/>
          <w:between w:val="nil"/>
        </w:pBdr>
        <w:jc w:val="both"/>
        <w:rPr>
          <w:color w:val="000000"/>
        </w:rPr>
      </w:pPr>
    </w:p>
    <w:p w14:paraId="68AEECC7" w14:textId="77777777" w:rsidR="00F91B43" w:rsidRDefault="008267C3" w:rsidP="003A7441">
      <w:pPr>
        <w:pStyle w:val="HeadingE3"/>
        <w:spacing w:after="240"/>
      </w:pPr>
      <w:bookmarkStart w:id="23" w:name="_Toc403133213"/>
      <w:r>
        <w:t>Appendix B – BHER WIL definition</w:t>
      </w:r>
      <w:bookmarkEnd w:id="23"/>
      <w:r>
        <w:t xml:space="preserve"> </w:t>
      </w:r>
    </w:p>
    <w:p w14:paraId="19BE8D4D" w14:textId="0A763E4B" w:rsidR="00F91B43" w:rsidRDefault="008267C3" w:rsidP="008841C6">
      <w:pPr>
        <w:pStyle w:val="Normal1"/>
        <w:pBdr>
          <w:top w:val="nil"/>
          <w:left w:val="nil"/>
          <w:bottom w:val="nil"/>
          <w:right w:val="nil"/>
          <w:between w:val="nil"/>
        </w:pBdr>
        <w:jc w:val="both"/>
        <w:rPr>
          <w:b/>
          <w:color w:val="000000"/>
        </w:rPr>
      </w:pPr>
      <w:r>
        <w:rPr>
          <w:b/>
          <w:color w:val="000000"/>
        </w:rPr>
        <w:t>Discussion of WIL definition sourced from Business/Education Roundtable (BHER) ‘Taking the pulse of work-integrated learning in Canada’</w:t>
      </w:r>
      <w:r w:rsidR="008841C6">
        <w:rPr>
          <w:b/>
          <w:color w:val="000000"/>
        </w:rPr>
        <w:t xml:space="preserve"> (2016</w:t>
      </w:r>
      <w:r w:rsidR="00F13BD3">
        <w:rPr>
          <w:b/>
          <w:color w:val="000000"/>
        </w:rPr>
        <w:t>)</w:t>
      </w:r>
      <w:r w:rsidR="008841C6">
        <w:rPr>
          <w:b/>
          <w:color w:val="000000"/>
        </w:rPr>
        <w:t xml:space="preserve">. </w:t>
      </w:r>
    </w:p>
    <w:p w14:paraId="3E3F71E1" w14:textId="77777777" w:rsidR="00F91B43" w:rsidRDefault="008267C3" w:rsidP="003A7441">
      <w:pPr>
        <w:pStyle w:val="Normal1"/>
        <w:widowControl w:val="0"/>
        <w:pBdr>
          <w:top w:val="nil"/>
          <w:left w:val="nil"/>
          <w:bottom w:val="nil"/>
          <w:right w:val="nil"/>
          <w:between w:val="nil"/>
        </w:pBdr>
        <w:spacing w:after="120"/>
        <w:jc w:val="both"/>
        <w:rPr>
          <w:color w:val="000000"/>
        </w:rPr>
      </w:pPr>
      <w:r>
        <w:rPr>
          <w:color w:val="000000"/>
        </w:rPr>
        <w:t xml:space="preserve">COMPETING DEFINITIONS </w:t>
      </w:r>
    </w:p>
    <w:p w14:paraId="23009357" w14:textId="77777777" w:rsidR="00F91B43" w:rsidRDefault="008267C3">
      <w:pPr>
        <w:pStyle w:val="Normal1"/>
        <w:widowControl w:val="0"/>
        <w:pBdr>
          <w:top w:val="nil"/>
          <w:left w:val="nil"/>
          <w:bottom w:val="nil"/>
          <w:right w:val="nil"/>
          <w:between w:val="nil"/>
        </w:pBdr>
        <w:spacing w:after="240"/>
        <w:jc w:val="both"/>
        <w:rPr>
          <w:color w:val="000000"/>
        </w:rPr>
      </w:pPr>
      <w:r>
        <w:rPr>
          <w:color w:val="000000"/>
        </w:rPr>
        <w:t xml:space="preserve">There remains little consensus around any single definition of the term work-integrated learning (WIL). As Sattler (2011) notes, a number of scholars point to the complexity and contestation around terms like “work,” “learning,” and “workplace,” while others emphasize the vagueness of some definitions as well as similarities between WIL and other related terms. Some academic sources define WIL in relation to programs that fall under the term, while others define it in terms of its goals and desired outcomes (Sattler 2011). Moreover, as the imperative to offer practical, work-related instruction becomes ubiquitous, WIL has become embedded in marketing language, with each college, university, and polytechnic marketing, delivering, and measuring WIL differently. </w:t>
      </w:r>
    </w:p>
    <w:p w14:paraId="682138D6" w14:textId="77777777" w:rsidR="00F91B43" w:rsidRDefault="008267C3">
      <w:pPr>
        <w:pStyle w:val="Normal1"/>
        <w:widowControl w:val="0"/>
        <w:pBdr>
          <w:top w:val="nil"/>
          <w:left w:val="nil"/>
          <w:bottom w:val="nil"/>
          <w:right w:val="nil"/>
          <w:between w:val="nil"/>
        </w:pBdr>
        <w:spacing w:after="240"/>
        <w:jc w:val="both"/>
        <w:rPr>
          <w:color w:val="000000"/>
        </w:rPr>
      </w:pPr>
      <w:r>
        <w:rPr>
          <w:color w:val="000000"/>
        </w:rPr>
        <w:t xml:space="preserve">To add to the confusion, “work-integrated learning” is frequently used interchangeably with other similar, related, or overlapping terms, including “work-based learning,” “practice-based learning,” “work-related learning,” “vocational learning,” “experiential learning,” “co-operative education,” “clinical education,” “internship,” “practicum,” and “field education” (Stirling et al. 2016). Many of these terms are used in other contexts to describe types of WIL rather than WIL itself and there is often little agreement around the definitions of these terms. This inconsistency can have funding and administrative implications, and can create confusion among employers and students about the objectives and expectations of WIL programs (Connor &amp; MacFarlane, 2007; Patrick et al., 2009). </w:t>
      </w:r>
    </w:p>
    <w:p w14:paraId="5D8E477A" w14:textId="77777777" w:rsidR="00F91B43" w:rsidRDefault="008267C3">
      <w:pPr>
        <w:pStyle w:val="Normal1"/>
        <w:widowControl w:val="0"/>
        <w:pBdr>
          <w:top w:val="nil"/>
          <w:left w:val="nil"/>
          <w:bottom w:val="nil"/>
          <w:right w:val="nil"/>
          <w:between w:val="nil"/>
        </w:pBdr>
        <w:spacing w:after="240"/>
        <w:jc w:val="both"/>
        <w:rPr>
          <w:color w:val="000000"/>
        </w:rPr>
      </w:pPr>
      <w:r>
        <w:rPr>
          <w:color w:val="000000"/>
        </w:rPr>
        <w:t xml:space="preserve">Experts interviewed by Rosse and Brown (2013) frequently cited a lack of common language around WIL as a barrier to the development of a unified strategy. While acknowledging that the diversity of fields and programs presents significant challenges, they argue that there is “a fundamental need for a shared WIL language and discourse ... and a shared frame of curricular reference and meaning so that extended and inclusive conversations can take place.” </w:t>
      </w:r>
    </w:p>
    <w:p w14:paraId="3658F614" w14:textId="77777777" w:rsidR="00F91B43" w:rsidRDefault="008267C3" w:rsidP="003A7441">
      <w:pPr>
        <w:pStyle w:val="Normal1"/>
        <w:widowControl w:val="0"/>
        <w:pBdr>
          <w:top w:val="nil"/>
          <w:left w:val="nil"/>
          <w:bottom w:val="nil"/>
          <w:right w:val="nil"/>
          <w:between w:val="nil"/>
        </w:pBdr>
        <w:spacing w:after="120"/>
        <w:jc w:val="both"/>
        <w:rPr>
          <w:color w:val="000000"/>
        </w:rPr>
      </w:pPr>
      <w:r>
        <w:rPr>
          <w:color w:val="000000"/>
        </w:rPr>
        <w:t xml:space="preserve">FINDING COMMON GROUND </w:t>
      </w:r>
    </w:p>
    <w:p w14:paraId="0DE5202E" w14:textId="77777777" w:rsidR="00F91B43" w:rsidRDefault="008267C3" w:rsidP="00122C44">
      <w:pPr>
        <w:pStyle w:val="Normal1"/>
        <w:widowControl w:val="0"/>
        <w:pBdr>
          <w:top w:val="nil"/>
          <w:left w:val="nil"/>
          <w:bottom w:val="nil"/>
          <w:right w:val="nil"/>
          <w:between w:val="nil"/>
        </w:pBdr>
        <w:spacing w:after="120"/>
        <w:jc w:val="both"/>
        <w:rPr>
          <w:color w:val="000000"/>
        </w:rPr>
      </w:pPr>
      <w:r>
        <w:rPr>
          <w:color w:val="000000"/>
        </w:rPr>
        <w:t xml:space="preserve">Despite the diverse ways in which WIL is defined, there are a number of commonalities between different forms of WIL that serve to distinguish WIL from work experience and from other forms of experiential learning (Sattler 2011). Cooper et al. (2010) identify seven key dimensions: </w:t>
      </w:r>
    </w:p>
    <w:p w14:paraId="2A10400E"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Purpose </w:t>
      </w:r>
    </w:p>
    <w:p w14:paraId="4C762D88"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Context </w:t>
      </w:r>
    </w:p>
    <w:p w14:paraId="6CBD8914"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Nature of the integration </w:t>
      </w:r>
    </w:p>
    <w:p w14:paraId="3E40B9D4"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Curriculum issues </w:t>
      </w:r>
    </w:p>
    <w:p w14:paraId="5425D3B4"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Learning </w:t>
      </w:r>
    </w:p>
    <w:p w14:paraId="4A378A7D" w14:textId="77777777" w:rsidR="00F91B43" w:rsidRDefault="008267C3" w:rsidP="008256DB">
      <w:pPr>
        <w:pStyle w:val="Normal1"/>
        <w:numPr>
          <w:ilvl w:val="0"/>
          <w:numId w:val="39"/>
        </w:numPr>
        <w:pBdr>
          <w:top w:val="nil"/>
          <w:left w:val="nil"/>
          <w:bottom w:val="nil"/>
          <w:right w:val="nil"/>
          <w:between w:val="nil"/>
        </w:pBdr>
        <w:spacing w:after="0"/>
        <w:contextualSpacing/>
        <w:jc w:val="both"/>
      </w:pPr>
      <w:r>
        <w:t xml:space="preserve">Partnerships between the institution and the workplace or community </w:t>
      </w:r>
    </w:p>
    <w:p w14:paraId="6355D678" w14:textId="29F20D1B" w:rsidR="00F91B43" w:rsidRDefault="008267C3" w:rsidP="00122C44">
      <w:pPr>
        <w:pStyle w:val="Normal1"/>
        <w:numPr>
          <w:ilvl w:val="0"/>
          <w:numId w:val="39"/>
        </w:numPr>
        <w:pBdr>
          <w:top w:val="nil"/>
          <w:left w:val="nil"/>
          <w:bottom w:val="nil"/>
          <w:right w:val="nil"/>
          <w:between w:val="nil"/>
        </w:pBdr>
        <w:spacing w:after="120"/>
        <w:ind w:left="1145" w:hanging="357"/>
        <w:jc w:val="both"/>
      </w:pPr>
      <w:r>
        <w:t xml:space="preserve">Support provided to the student and workplace or community </w:t>
      </w:r>
    </w:p>
    <w:p w14:paraId="6F11B2C0" w14:textId="77777777" w:rsidR="00F91B43" w:rsidRDefault="008267C3" w:rsidP="00122C44">
      <w:pPr>
        <w:pStyle w:val="Normal1"/>
        <w:widowControl w:val="0"/>
        <w:pBdr>
          <w:top w:val="nil"/>
          <w:left w:val="nil"/>
          <w:bottom w:val="nil"/>
          <w:right w:val="nil"/>
          <w:between w:val="nil"/>
        </w:pBdr>
        <w:spacing w:after="120"/>
        <w:jc w:val="both"/>
        <w:rPr>
          <w:color w:val="000000"/>
        </w:rPr>
      </w:pPr>
      <w:r>
        <w:rPr>
          <w:color w:val="000000"/>
        </w:rPr>
        <w:t xml:space="preserve">Rosse and Browne (2013), meanwhile, note curricular patterns and commonalities in WIL courses in Australia that persist across several disciplines. Focused on the learning goals of WIL courses, they list a number of common objectives: </w:t>
      </w:r>
    </w:p>
    <w:p w14:paraId="150364F1" w14:textId="77777777" w:rsidR="00F91B43" w:rsidRDefault="008267C3" w:rsidP="008256DB">
      <w:pPr>
        <w:pStyle w:val="Normal1"/>
        <w:numPr>
          <w:ilvl w:val="0"/>
          <w:numId w:val="40"/>
        </w:numPr>
        <w:pBdr>
          <w:top w:val="nil"/>
          <w:left w:val="nil"/>
          <w:bottom w:val="nil"/>
          <w:right w:val="nil"/>
          <w:between w:val="nil"/>
        </w:pBdr>
        <w:spacing w:after="0"/>
        <w:contextualSpacing/>
        <w:jc w:val="both"/>
      </w:pPr>
      <w:r>
        <w:t xml:space="preserve">Broadening understanding by introducing aspects of a profession or role, work, work contexts, or work culture </w:t>
      </w:r>
    </w:p>
    <w:p w14:paraId="3E442853" w14:textId="77777777" w:rsidR="00F91B43" w:rsidRDefault="008267C3" w:rsidP="008256DB">
      <w:pPr>
        <w:pStyle w:val="Normal1"/>
        <w:numPr>
          <w:ilvl w:val="0"/>
          <w:numId w:val="40"/>
        </w:numPr>
        <w:pBdr>
          <w:top w:val="nil"/>
          <w:left w:val="nil"/>
          <w:bottom w:val="nil"/>
          <w:right w:val="nil"/>
          <w:between w:val="nil"/>
        </w:pBdr>
        <w:spacing w:after="0"/>
        <w:contextualSpacing/>
        <w:jc w:val="both"/>
      </w:pPr>
      <w:r>
        <w:t xml:space="preserve">Responding to community needs and culture </w:t>
      </w:r>
    </w:p>
    <w:p w14:paraId="57CBC986" w14:textId="77777777" w:rsidR="00F91B43" w:rsidRDefault="008267C3" w:rsidP="008256DB">
      <w:pPr>
        <w:pStyle w:val="Normal1"/>
        <w:numPr>
          <w:ilvl w:val="0"/>
          <w:numId w:val="40"/>
        </w:numPr>
        <w:pBdr>
          <w:top w:val="nil"/>
          <w:left w:val="nil"/>
          <w:bottom w:val="nil"/>
          <w:right w:val="nil"/>
          <w:between w:val="nil"/>
        </w:pBdr>
        <w:spacing w:after="0"/>
        <w:contextualSpacing/>
        <w:jc w:val="both"/>
      </w:pPr>
      <w:r>
        <w:t xml:space="preserve">Developing specific skills within a real work </w:t>
      </w:r>
    </w:p>
    <w:p w14:paraId="3FFEFD8F" w14:textId="77777777" w:rsidR="00F91B43" w:rsidRDefault="008267C3" w:rsidP="008256DB">
      <w:pPr>
        <w:pStyle w:val="Normal1"/>
        <w:numPr>
          <w:ilvl w:val="0"/>
          <w:numId w:val="40"/>
        </w:numPr>
        <w:pBdr>
          <w:top w:val="nil"/>
          <w:left w:val="nil"/>
          <w:bottom w:val="nil"/>
          <w:right w:val="nil"/>
          <w:between w:val="nil"/>
        </w:pBdr>
        <w:spacing w:after="0"/>
        <w:contextualSpacing/>
        <w:jc w:val="both"/>
      </w:pPr>
      <w:r>
        <w:t xml:space="preserve">Applying, developing, and enhancing knowledge and skills acquired in the classroom in a work/community setting </w:t>
      </w:r>
    </w:p>
    <w:p w14:paraId="345235A9" w14:textId="77777777" w:rsidR="00F91B43" w:rsidRDefault="008267C3" w:rsidP="008256DB">
      <w:pPr>
        <w:pStyle w:val="Normal1"/>
        <w:numPr>
          <w:ilvl w:val="0"/>
          <w:numId w:val="40"/>
        </w:numPr>
        <w:pBdr>
          <w:top w:val="nil"/>
          <w:left w:val="nil"/>
          <w:bottom w:val="nil"/>
          <w:right w:val="nil"/>
          <w:between w:val="nil"/>
        </w:pBdr>
        <w:spacing w:after="0"/>
        <w:contextualSpacing/>
        <w:jc w:val="both"/>
      </w:pPr>
      <w:r>
        <w:t xml:space="preserve">Analyzing and researching specific aspects of the work or community contexts </w:t>
      </w:r>
    </w:p>
    <w:p w14:paraId="70F8E05E" w14:textId="11F10D76" w:rsidR="00F91B43" w:rsidRDefault="008267C3" w:rsidP="00122C44">
      <w:pPr>
        <w:pStyle w:val="Normal1"/>
        <w:numPr>
          <w:ilvl w:val="0"/>
          <w:numId w:val="40"/>
        </w:numPr>
        <w:pBdr>
          <w:top w:val="nil"/>
          <w:left w:val="nil"/>
          <w:bottom w:val="nil"/>
          <w:right w:val="nil"/>
          <w:between w:val="nil"/>
        </w:pBdr>
        <w:spacing w:after="120"/>
        <w:ind w:left="1145" w:hanging="357"/>
        <w:jc w:val="both"/>
      </w:pPr>
      <w:r>
        <w:t xml:space="preserve">Developing integrative knowledge </w:t>
      </w:r>
    </w:p>
    <w:p w14:paraId="16C45CBA" w14:textId="77777777" w:rsidR="00F91B43" w:rsidRDefault="008267C3" w:rsidP="00122C44">
      <w:pPr>
        <w:pStyle w:val="BodyText"/>
      </w:pPr>
      <w:r>
        <w:t>Rosse and Browne further note that the goals of WIL programming typically address various work- and community-related issues including ethics, professional skills, and cultural and social aspects of the work or community setting.</w:t>
      </w:r>
    </w:p>
    <w:p w14:paraId="77CDDDD8" w14:textId="77777777" w:rsidR="002A223B" w:rsidRDefault="008267C3" w:rsidP="00122C44">
      <w:pPr>
        <w:pStyle w:val="BodyText"/>
      </w:pPr>
      <w:r>
        <w:t>For the purposes of this report, we advocate for a broad definition of WIL that will facilitate at understanding of the range of WIL experiences currently available to students. A broad definition also serves to inform further discussions about what types of experiences should be considered under BHER’s work. As such, we adopt Billett’s (2009) definition of WIL as:</w:t>
      </w:r>
    </w:p>
    <w:p w14:paraId="062618AD" w14:textId="2FC4A2E1" w:rsidR="00F91B43" w:rsidRDefault="008267C3" w:rsidP="00122C44">
      <w:pPr>
        <w:pStyle w:val="BodyText"/>
      </w:pPr>
      <w:r>
        <w:rPr>
          <w:i/>
        </w:rPr>
        <w:t xml:space="preserve">The process whereby students learn from experiences in educational and practice settings and integrate the contributions of those experiences in developing the understanding, procedures, and dispositions required for effective professional practice, including criticality. Work-integrated learning arrangements include the kinds of curriculum and pedagogic practices that can assist, provide, and effectively integrate learning experiences in both educational and practice settings (Billett, 2009: v). </w:t>
      </w:r>
    </w:p>
    <w:p w14:paraId="7E8D54CC" w14:textId="0BB690AC" w:rsidR="00F91B43" w:rsidRPr="00036876" w:rsidRDefault="008267C3" w:rsidP="00854DD4">
      <w:pPr>
        <w:widowControl w:val="0"/>
        <w:autoSpaceDE w:val="0"/>
        <w:autoSpaceDN w:val="0"/>
        <w:adjustRightInd w:val="0"/>
        <w:spacing w:after="240" w:line="340" w:lineRule="atLeast"/>
        <w:jc w:val="both"/>
        <w:rPr>
          <w:rFonts w:ascii="Times Roman" w:hAnsi="Times Roman" w:cs="Times Roman"/>
          <w:color w:val="000000"/>
          <w:sz w:val="24"/>
          <w:szCs w:val="24"/>
        </w:rPr>
      </w:pPr>
      <w:r>
        <w:t xml:space="preserve">Billett helpfully frames WIL in terms of its objectives while simultaneously emphasizing that it is an active process that integrates experiences from the work or community setting as well as the classroom. As Stirling et al. (2016) note, “the benefits of work-integrated learning are not implicit within the work itself, but rather in the integration of theory and practice facilitated through the work-integrated learning experience.” Billett’s definition foregrounds these critical aspects of WIL and thus serves as </w:t>
      </w:r>
      <w:r w:rsidR="00036876" w:rsidRPr="00036876">
        <w:rPr>
          <w:rFonts w:asciiTheme="majorHAnsi" w:hAnsiTheme="majorHAnsi" w:cs="Helvetica Neue"/>
          <w:color w:val="000000"/>
        </w:rPr>
        <w:t>the most helpful definition in terms of productively identifying the full range of WIL experiences.</w:t>
      </w:r>
      <w:r w:rsidR="00036876">
        <w:rPr>
          <w:rFonts w:ascii="Helvetica Neue" w:hAnsi="Helvetica Neue" w:cs="Helvetica Neue"/>
          <w:color w:val="000000"/>
          <w:sz w:val="29"/>
          <w:szCs w:val="29"/>
        </w:rPr>
        <w:t xml:space="preserve"> </w:t>
      </w:r>
    </w:p>
    <w:p w14:paraId="0EFB1FE8" w14:textId="77777777" w:rsidR="00F91B43" w:rsidRDefault="008267C3" w:rsidP="003A7441">
      <w:pPr>
        <w:pStyle w:val="Normal1"/>
        <w:widowControl w:val="0"/>
        <w:pBdr>
          <w:top w:val="nil"/>
          <w:left w:val="nil"/>
          <w:bottom w:val="nil"/>
          <w:right w:val="nil"/>
          <w:between w:val="nil"/>
        </w:pBdr>
        <w:spacing w:after="120"/>
        <w:jc w:val="both"/>
        <w:rPr>
          <w:color w:val="000000"/>
        </w:rPr>
      </w:pPr>
      <w:r>
        <w:rPr>
          <w:color w:val="000000"/>
        </w:rPr>
        <w:t xml:space="preserve">WIL TYPOLOGIES </w:t>
      </w:r>
    </w:p>
    <w:p w14:paraId="5303BC41" w14:textId="77777777" w:rsidR="00F91B43" w:rsidRDefault="008267C3" w:rsidP="00122C44">
      <w:pPr>
        <w:pStyle w:val="Normal1"/>
        <w:widowControl w:val="0"/>
        <w:pBdr>
          <w:top w:val="nil"/>
          <w:left w:val="nil"/>
          <w:bottom w:val="nil"/>
          <w:right w:val="nil"/>
          <w:between w:val="nil"/>
        </w:pBdr>
        <w:spacing w:after="120"/>
        <w:jc w:val="both"/>
        <w:rPr>
          <w:color w:val="000000"/>
        </w:rPr>
      </w:pPr>
      <w:r>
        <w:rPr>
          <w:color w:val="000000"/>
        </w:rPr>
        <w:t xml:space="preserve">Due to the inconsistent terminology used to describe WIL, a number of attempts have been made to develop frameworks for understanding the sheer variety of WIL programs. Rosse and Browne (2013) classify typologies of WIL into four categories: </w:t>
      </w:r>
    </w:p>
    <w:p w14:paraId="5159F390" w14:textId="77777777" w:rsidR="00F91B43" w:rsidRDefault="008267C3" w:rsidP="00733A39">
      <w:pPr>
        <w:pStyle w:val="Normal1"/>
        <w:widowControl w:val="0"/>
        <w:pBdr>
          <w:top w:val="nil"/>
          <w:left w:val="nil"/>
          <w:bottom w:val="nil"/>
          <w:right w:val="nil"/>
          <w:between w:val="nil"/>
        </w:pBdr>
        <w:tabs>
          <w:tab w:val="left" w:pos="0"/>
          <w:tab w:val="left" w:pos="220"/>
        </w:tabs>
        <w:spacing w:after="120"/>
        <w:rPr>
          <w:color w:val="000000"/>
        </w:rPr>
      </w:pPr>
      <w:r>
        <w:rPr>
          <w:b/>
          <w:color w:val="000000"/>
        </w:rPr>
        <w:t>Learning-related</w:t>
      </w:r>
      <w:r>
        <w:rPr>
          <w:color w:val="000000"/>
        </w:rPr>
        <w:t>: Typologies grouped by method of assessment, by types of knowledge development, or by learning type  </w:t>
      </w:r>
    </w:p>
    <w:p w14:paraId="02E1AF03" w14:textId="77777777" w:rsidR="00F91B43" w:rsidRDefault="008267C3" w:rsidP="00733A39">
      <w:pPr>
        <w:pStyle w:val="Normal1"/>
        <w:widowControl w:val="0"/>
        <w:pBdr>
          <w:top w:val="nil"/>
          <w:left w:val="nil"/>
          <w:bottom w:val="nil"/>
          <w:right w:val="nil"/>
          <w:between w:val="nil"/>
        </w:pBdr>
        <w:tabs>
          <w:tab w:val="left" w:pos="0"/>
          <w:tab w:val="left" w:pos="220"/>
        </w:tabs>
        <w:spacing w:after="120"/>
        <w:rPr>
          <w:color w:val="000000"/>
        </w:rPr>
      </w:pPr>
      <w:r>
        <w:rPr>
          <w:b/>
          <w:color w:val="000000"/>
        </w:rPr>
        <w:t>Structure components</w:t>
      </w:r>
      <w:r>
        <w:rPr>
          <w:color w:val="000000"/>
        </w:rPr>
        <w:t>: Grouped by duration and timing in the program  </w:t>
      </w:r>
    </w:p>
    <w:p w14:paraId="2703B572" w14:textId="77777777" w:rsidR="00F91B43" w:rsidRDefault="008267C3" w:rsidP="00733A39">
      <w:pPr>
        <w:pStyle w:val="Normal1"/>
        <w:widowControl w:val="0"/>
        <w:pBdr>
          <w:top w:val="nil"/>
          <w:left w:val="nil"/>
          <w:bottom w:val="nil"/>
          <w:right w:val="nil"/>
          <w:between w:val="nil"/>
        </w:pBdr>
        <w:tabs>
          <w:tab w:val="left" w:pos="0"/>
          <w:tab w:val="left" w:pos="220"/>
        </w:tabs>
        <w:spacing w:after="120"/>
        <w:rPr>
          <w:color w:val="000000"/>
        </w:rPr>
      </w:pPr>
      <w:r>
        <w:rPr>
          <w:b/>
          <w:color w:val="000000"/>
        </w:rPr>
        <w:t>Mixed attribute</w:t>
      </w:r>
      <w:r>
        <w:rPr>
          <w:color w:val="000000"/>
        </w:rPr>
        <w:t>: grouped by multiple criteria including types of field experiences, duration, and iming  </w:t>
      </w:r>
    </w:p>
    <w:p w14:paraId="5454A876" w14:textId="77777777" w:rsidR="00F91B43" w:rsidRDefault="008267C3" w:rsidP="00733A39">
      <w:pPr>
        <w:pStyle w:val="Normal1"/>
        <w:widowControl w:val="0"/>
        <w:pBdr>
          <w:top w:val="nil"/>
          <w:left w:val="nil"/>
          <w:bottom w:val="nil"/>
          <w:right w:val="nil"/>
          <w:between w:val="nil"/>
        </w:pBdr>
        <w:tabs>
          <w:tab w:val="left" w:pos="0"/>
        </w:tabs>
        <w:spacing w:after="120"/>
        <w:rPr>
          <w:color w:val="000000"/>
        </w:rPr>
      </w:pPr>
      <w:r>
        <w:rPr>
          <w:b/>
          <w:color w:val="000000"/>
        </w:rPr>
        <w:t>By constructs from learning theory</w:t>
      </w:r>
      <w:r>
        <w:rPr>
          <w:color w:val="000000"/>
        </w:rPr>
        <w:t xml:space="preserve">: grouped by alignment with various learning theories and distinguished by purpose </w:t>
      </w:r>
    </w:p>
    <w:p w14:paraId="4ECFA3BD" w14:textId="77777777" w:rsidR="00CF6725" w:rsidRDefault="008267C3" w:rsidP="00314598">
      <w:pPr>
        <w:pStyle w:val="Normal1"/>
        <w:widowControl w:val="0"/>
        <w:pBdr>
          <w:top w:val="nil"/>
          <w:left w:val="nil"/>
          <w:bottom w:val="nil"/>
          <w:right w:val="nil"/>
          <w:between w:val="nil"/>
        </w:pBdr>
        <w:spacing w:after="120"/>
        <w:jc w:val="both"/>
        <w:rPr>
          <w:color w:val="000000"/>
        </w:rPr>
      </w:pPr>
      <w:r>
        <w:rPr>
          <w:color w:val="000000"/>
        </w:rPr>
        <w:t>Sattler (2011) offers a useful overview of WIL typologies and frameworks constructed prior to 2011, incorporating various aspects of each into her own typology devised for Ontario’s post</w:t>
      </w:r>
      <w:r w:rsidR="00B773C0">
        <w:rPr>
          <w:color w:val="000000"/>
        </w:rPr>
        <w:t>-</w:t>
      </w:r>
      <w:r>
        <w:rPr>
          <w:color w:val="000000"/>
        </w:rPr>
        <w:t xml:space="preserve">secondary sector. She notes that a number of these frameworks are useful from a theoretical perspective but are problematic in terms of providing a schema for classifying specific WIL programs because many such programs incorporate elements of several models (Sattler 2011). Based on her research, Sattler developed a typology of WIL that is in wide usage today. This typology identifies seven types of WIL, distinguished by various characteristics, and organizes them into three main categories: </w:t>
      </w:r>
    </w:p>
    <w:p w14:paraId="0EC96095" w14:textId="77777777" w:rsidR="00CF6725" w:rsidRDefault="00CF6725" w:rsidP="00314598">
      <w:pPr>
        <w:pStyle w:val="Normal1"/>
        <w:widowControl w:val="0"/>
        <w:numPr>
          <w:ilvl w:val="0"/>
          <w:numId w:val="13"/>
        </w:numPr>
        <w:pBdr>
          <w:top w:val="nil"/>
          <w:left w:val="nil"/>
          <w:bottom w:val="nil"/>
          <w:right w:val="nil"/>
          <w:between w:val="nil"/>
        </w:pBdr>
        <w:spacing w:after="120"/>
        <w:ind w:hanging="357"/>
        <w:jc w:val="both"/>
        <w:rPr>
          <w:color w:val="000000"/>
        </w:rPr>
      </w:pPr>
      <w:r>
        <w:rPr>
          <w:color w:val="000000"/>
        </w:rPr>
        <w:t>Systematic training (workplace as the central place of learning)</w:t>
      </w:r>
    </w:p>
    <w:p w14:paraId="5E8ADC37" w14:textId="77777777" w:rsidR="00CF6725" w:rsidRDefault="00CF6725" w:rsidP="00314598">
      <w:pPr>
        <w:pStyle w:val="Normal1"/>
        <w:widowControl w:val="0"/>
        <w:numPr>
          <w:ilvl w:val="1"/>
          <w:numId w:val="13"/>
        </w:numPr>
        <w:pBdr>
          <w:top w:val="nil"/>
          <w:left w:val="nil"/>
          <w:bottom w:val="nil"/>
          <w:right w:val="nil"/>
          <w:between w:val="nil"/>
        </w:pBdr>
        <w:spacing w:after="120"/>
        <w:ind w:hanging="357"/>
        <w:jc w:val="both"/>
        <w:rPr>
          <w:color w:val="000000"/>
        </w:rPr>
      </w:pPr>
      <w:r>
        <w:rPr>
          <w:color w:val="000000"/>
        </w:rPr>
        <w:t>Apprenticeships</w:t>
      </w:r>
    </w:p>
    <w:p w14:paraId="102F0AA4" w14:textId="77777777" w:rsidR="00CF6725" w:rsidRDefault="00CF6725" w:rsidP="00314598">
      <w:pPr>
        <w:pStyle w:val="Normal1"/>
        <w:widowControl w:val="0"/>
        <w:numPr>
          <w:ilvl w:val="0"/>
          <w:numId w:val="13"/>
        </w:numPr>
        <w:pBdr>
          <w:top w:val="nil"/>
          <w:left w:val="nil"/>
          <w:bottom w:val="nil"/>
          <w:right w:val="nil"/>
          <w:between w:val="nil"/>
        </w:pBdr>
        <w:spacing w:after="120"/>
        <w:ind w:hanging="357"/>
        <w:jc w:val="both"/>
        <w:rPr>
          <w:color w:val="000000"/>
        </w:rPr>
      </w:pPr>
      <w:r>
        <w:rPr>
          <w:color w:val="000000"/>
        </w:rPr>
        <w:t>Structured work experience (familiarization with the world of work within a PSE program)</w:t>
      </w:r>
    </w:p>
    <w:p w14:paraId="77B7F530" w14:textId="77777777" w:rsidR="00CF6725" w:rsidRDefault="00CF6725" w:rsidP="00314598">
      <w:pPr>
        <w:pStyle w:val="Normal1"/>
        <w:widowControl w:val="0"/>
        <w:numPr>
          <w:ilvl w:val="1"/>
          <w:numId w:val="13"/>
        </w:numPr>
        <w:pBdr>
          <w:top w:val="nil"/>
          <w:left w:val="nil"/>
          <w:bottom w:val="nil"/>
          <w:right w:val="nil"/>
          <w:between w:val="nil"/>
        </w:pBdr>
        <w:spacing w:after="120"/>
        <w:ind w:hanging="357"/>
        <w:jc w:val="both"/>
        <w:rPr>
          <w:color w:val="000000"/>
        </w:rPr>
      </w:pPr>
      <w:r>
        <w:rPr>
          <w:color w:val="000000"/>
        </w:rPr>
        <w:t>Co-op</w:t>
      </w:r>
    </w:p>
    <w:p w14:paraId="67463ACE" w14:textId="77777777" w:rsidR="00CF6725" w:rsidRDefault="00CF6725" w:rsidP="00314598">
      <w:pPr>
        <w:pStyle w:val="Normal1"/>
        <w:widowControl w:val="0"/>
        <w:numPr>
          <w:ilvl w:val="1"/>
          <w:numId w:val="13"/>
        </w:numPr>
        <w:pBdr>
          <w:top w:val="nil"/>
          <w:left w:val="nil"/>
          <w:bottom w:val="nil"/>
          <w:right w:val="nil"/>
          <w:between w:val="nil"/>
        </w:pBdr>
        <w:spacing w:after="120"/>
        <w:ind w:hanging="357"/>
        <w:jc w:val="both"/>
        <w:rPr>
          <w:color w:val="000000"/>
        </w:rPr>
      </w:pPr>
      <w:r>
        <w:rPr>
          <w:color w:val="000000"/>
        </w:rPr>
        <w:t>Internships</w:t>
      </w:r>
    </w:p>
    <w:p w14:paraId="0C4AE128" w14:textId="77777777" w:rsidR="00CF6725" w:rsidRDefault="00CF6725" w:rsidP="00314598">
      <w:pPr>
        <w:pStyle w:val="Normal1"/>
        <w:widowControl w:val="0"/>
        <w:numPr>
          <w:ilvl w:val="1"/>
          <w:numId w:val="13"/>
        </w:numPr>
        <w:pBdr>
          <w:top w:val="nil"/>
          <w:left w:val="nil"/>
          <w:bottom w:val="nil"/>
          <w:right w:val="nil"/>
          <w:between w:val="nil"/>
        </w:pBdr>
        <w:spacing w:after="120"/>
        <w:ind w:hanging="357"/>
        <w:jc w:val="both"/>
        <w:rPr>
          <w:color w:val="000000"/>
        </w:rPr>
      </w:pPr>
      <w:r>
        <w:rPr>
          <w:color w:val="000000"/>
        </w:rPr>
        <w:t>Mandatory professional practice</w:t>
      </w:r>
    </w:p>
    <w:p w14:paraId="2FAC79B9" w14:textId="77777777" w:rsidR="00CF6725" w:rsidRDefault="00CF6725" w:rsidP="00314598">
      <w:pPr>
        <w:pStyle w:val="Normal1"/>
        <w:widowControl w:val="0"/>
        <w:numPr>
          <w:ilvl w:val="1"/>
          <w:numId w:val="13"/>
        </w:numPr>
        <w:pBdr>
          <w:top w:val="nil"/>
          <w:left w:val="nil"/>
          <w:bottom w:val="nil"/>
          <w:right w:val="nil"/>
          <w:between w:val="nil"/>
        </w:pBdr>
        <w:spacing w:after="120"/>
        <w:ind w:hanging="357"/>
        <w:jc w:val="both"/>
        <w:rPr>
          <w:color w:val="000000"/>
        </w:rPr>
      </w:pPr>
      <w:r>
        <w:rPr>
          <w:color w:val="000000"/>
        </w:rPr>
        <w:t>Field experience</w:t>
      </w:r>
    </w:p>
    <w:p w14:paraId="06C67EE9" w14:textId="77777777" w:rsidR="00CF6725" w:rsidRDefault="00CF6725" w:rsidP="00314598">
      <w:pPr>
        <w:pStyle w:val="Normal1"/>
        <w:widowControl w:val="0"/>
        <w:numPr>
          <w:ilvl w:val="0"/>
          <w:numId w:val="14"/>
        </w:numPr>
        <w:pBdr>
          <w:top w:val="nil"/>
          <w:left w:val="nil"/>
          <w:bottom w:val="nil"/>
          <w:right w:val="nil"/>
          <w:between w:val="nil"/>
        </w:pBdr>
        <w:spacing w:after="120"/>
        <w:ind w:hanging="357"/>
        <w:jc w:val="both"/>
        <w:rPr>
          <w:color w:val="000000"/>
        </w:rPr>
      </w:pPr>
      <w:r>
        <w:rPr>
          <w:color w:val="000000"/>
        </w:rPr>
        <w:t>Institutional partnerships (PSE activities/programs to achieve industry or community goals)</w:t>
      </w:r>
    </w:p>
    <w:p w14:paraId="07FF55D0" w14:textId="77777777" w:rsidR="00CF6725" w:rsidRDefault="00CF6725" w:rsidP="00314598">
      <w:pPr>
        <w:pStyle w:val="Normal1"/>
        <w:widowControl w:val="0"/>
        <w:numPr>
          <w:ilvl w:val="1"/>
          <w:numId w:val="14"/>
        </w:numPr>
        <w:pBdr>
          <w:top w:val="nil"/>
          <w:left w:val="nil"/>
          <w:bottom w:val="nil"/>
          <w:right w:val="nil"/>
          <w:between w:val="nil"/>
        </w:pBdr>
        <w:spacing w:after="120"/>
        <w:ind w:hanging="357"/>
        <w:jc w:val="both"/>
        <w:rPr>
          <w:color w:val="000000"/>
        </w:rPr>
      </w:pPr>
      <w:r>
        <w:rPr>
          <w:color w:val="000000"/>
        </w:rPr>
        <w:t>Applied research projects</w:t>
      </w:r>
    </w:p>
    <w:p w14:paraId="698BC3A2" w14:textId="77777777" w:rsidR="00CF6725" w:rsidRPr="00CF6725" w:rsidRDefault="00CF6725" w:rsidP="00733A39">
      <w:pPr>
        <w:pStyle w:val="Normal1"/>
        <w:widowControl w:val="0"/>
        <w:numPr>
          <w:ilvl w:val="1"/>
          <w:numId w:val="14"/>
        </w:numPr>
        <w:pBdr>
          <w:top w:val="nil"/>
          <w:left w:val="nil"/>
          <w:bottom w:val="nil"/>
          <w:right w:val="nil"/>
          <w:between w:val="nil"/>
        </w:pBdr>
        <w:ind w:hanging="357"/>
        <w:jc w:val="both"/>
        <w:rPr>
          <w:color w:val="000000"/>
        </w:rPr>
      </w:pPr>
      <w:r>
        <w:rPr>
          <w:color w:val="000000"/>
        </w:rPr>
        <w:t>Service-learning</w:t>
      </w:r>
    </w:p>
    <w:p w14:paraId="31DD0B19" w14:textId="77777777" w:rsidR="00F91B43" w:rsidRDefault="008267C3" w:rsidP="00122C44">
      <w:pPr>
        <w:pStyle w:val="BodyText"/>
      </w:pPr>
      <w:r>
        <w:t xml:space="preserve">The typology is not intended to be exhaustive, but is rather meant to serve as a conceptual framework to stimulate discussion and reflection. </w:t>
      </w:r>
    </w:p>
    <w:p w14:paraId="07FF917B" w14:textId="77777777" w:rsidR="00F91B43" w:rsidRDefault="008267C3" w:rsidP="00122C44">
      <w:pPr>
        <w:pStyle w:val="BodyText"/>
      </w:pPr>
      <w:r>
        <w:t xml:space="preserve">Since the time of Sattler’s research, alternative frameworks have been proposed. Rowe, Mackaway, and Winchester-Seeto (2012) organize WIL based on two primary factors: location (on campus or off) and level of community engagement. </w:t>
      </w:r>
    </w:p>
    <w:p w14:paraId="727CD587" w14:textId="77777777" w:rsidR="00F91B43" w:rsidRDefault="008267C3" w:rsidP="00122C44">
      <w:pPr>
        <w:pStyle w:val="BodyText"/>
      </w:pPr>
      <w:r>
        <w:t xml:space="preserve">As Ferns, Campbell, and Zegwaard (2014) note, such a model—which identifies three dozen activities as being included under the umbrella of WIL—“highlights the complexity of providing a single definition for WIL, but also shifts thinking away from a linear continuum of superiority toward appreciating the purposefulness of particular activities.” This model helpfully suggests not only the broad scope of activities that institutions can and should consider when developing WIL-related programming, but also highlights points of intersection between the educational institution and the workplace or community partner. However, in focusing on the responsibilities and priorities of these partners, this research does not adequately reflect the role of the student in WIL. It also includes a number of activities under the rubric of WIL that are better understood as experiential learning (e.g., case studies, lab work, simulations, etc.). This distinction between experiential learning and WIL is important, as WIL should be thought of as just one form of experiential learning. </w:t>
      </w:r>
    </w:p>
    <w:p w14:paraId="3A187E93" w14:textId="77777777" w:rsidR="00F91B43" w:rsidRDefault="008267C3" w:rsidP="00122C44">
      <w:pPr>
        <w:pStyle w:val="BodyText"/>
      </w:pPr>
      <w:r>
        <w:t xml:space="preserve">Leong and Kavanagh’s (2013) framework for WIL constitutes what they describe as a “progressive approach in embedding skills in selected courses.” While this framework was developed for a specific university, its focus on the student is a useful contrast to Rowe, Mackaway, and Winchester- Seeto’s typology. Within this framework, Leong and Kavanagh identify four types of WIL available to students: work samples and training, industry / community projects, work placements, and professional practicums. Leong and Kavanagh plot each type against two axes. One axis measures the degree to which a program is university-based or workplace-based; the second measures the level of competence required to complete the WIL experience. Each type of WIL further corresponds to a student’s progression within a program. </w:t>
      </w:r>
    </w:p>
    <w:p w14:paraId="58BCA1D8" w14:textId="77777777" w:rsidR="00F91B43" w:rsidRDefault="008267C3" w:rsidP="00122C44">
      <w:pPr>
        <w:pStyle w:val="BodyText"/>
      </w:pPr>
      <w:r>
        <w:t xml:space="preserve">In contrast to Rowe, Mackaway, and Winchester- Seeto’s approach, this framework reflects the desired outcomes in terms of the student as a participant in WIL. Within the framework, experiences are linked to students’ levels of proficiency that target, but do not necessarily correspond with, a student’s year of study. The risk presented by this model is that in positing that particular forms of WIL correspond to levels of competency, the opportunity for certain WIL programs, such as co-ops or project-based research, to be integrated throughout a program is de-emphasized. </w:t>
      </w:r>
    </w:p>
    <w:p w14:paraId="47286136" w14:textId="7A375D26" w:rsidR="00F91B43" w:rsidRDefault="008267C3" w:rsidP="00122C44">
      <w:pPr>
        <w:pStyle w:val="BodyText"/>
      </w:pPr>
      <w:r>
        <w:t>In order to document the breadth of current WIL experiences available at Canadian post</w:t>
      </w:r>
      <w:r w:rsidR="00B773C0">
        <w:t>-</w:t>
      </w:r>
      <w:r>
        <w:t>secondary institutions, we have adopted a model that is heavily based on Sattler’s typology (2011). Sattler’s methodology is most useful for the purposes of this report, which is intended to provide an environmental scan suggestive of the breadth of WIL offerings in Canada. However, new developments in both the academic approach to WIL as well as in the delivery of WIL at institutions must be considered. Therefore, we consider the growth of alternative forms of WIL that have been popularized in the last five years and suggest how they may be incorporated into the existing typology.</w:t>
      </w:r>
    </w:p>
    <w:p w14:paraId="732637BF" w14:textId="77777777" w:rsidR="00F91B43" w:rsidRDefault="00F91B43">
      <w:pPr>
        <w:pStyle w:val="Heading3"/>
      </w:pPr>
    </w:p>
    <w:sectPr w:rsidR="00F91B43" w:rsidSect="00A44F9A">
      <w:pgSz w:w="12240" w:h="15840"/>
      <w:pgMar w:top="1440" w:right="1800" w:bottom="1440"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9327F" w14:textId="77777777" w:rsidR="00F13BD3" w:rsidRDefault="00F13BD3">
      <w:pPr>
        <w:spacing w:after="0" w:line="240" w:lineRule="auto"/>
      </w:pPr>
      <w:r>
        <w:separator/>
      </w:r>
    </w:p>
  </w:endnote>
  <w:endnote w:type="continuationSeparator" w:id="0">
    <w:p w14:paraId="71967E44" w14:textId="77777777" w:rsidR="00F13BD3" w:rsidRDefault="00F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American Typewriter">
    <w:charset w:val="00"/>
    <w:family w:val="auto"/>
    <w:pitch w:val="variable"/>
    <w:sig w:usb0="A000006F" w:usb1="00000019" w:usb2="00000000" w:usb3="00000000" w:csb0="00000111" w:csb1="00000000"/>
  </w:font>
  <w:font w:name="Times Roman">
    <w:altName w:val="Times New Roman"/>
    <w:charset w:val="00"/>
    <w:family w:val="auto"/>
    <w:pitch w:val="variable"/>
    <w:sig w:usb0="E00002FF" w:usb1="5000205A"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8F94" w14:textId="77777777" w:rsidR="00F13BD3" w:rsidRDefault="00F13BD3">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43EAF1" w14:textId="77777777" w:rsidR="00F13BD3" w:rsidRDefault="00F13BD3">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1079" w14:textId="77777777" w:rsidR="003C3A0F" w:rsidRDefault="003C3A0F" w:rsidP="003C3A0F">
    <w:pPr>
      <w:jc w:val="center"/>
      <w:rPr>
        <w:color w:val="595959" w:themeColor="text1" w:themeTint="A6"/>
        <w:sz w:val="20"/>
        <w:szCs w:val="20"/>
      </w:rPr>
    </w:pPr>
  </w:p>
  <w:p w14:paraId="23614C80" w14:textId="4DEE04C4" w:rsidR="00F13BD3" w:rsidRPr="00400B69" w:rsidRDefault="00F13BD3" w:rsidP="003C3A0F">
    <w:pPr>
      <w:jc w:val="center"/>
      <w:rPr>
        <w:rFonts w:ascii="Times New Roman" w:eastAsia="Times New Roman" w:hAnsi="Times New Roman" w:cs="Times New Roman"/>
        <w:color w:val="595959" w:themeColor="text1" w:themeTint="A6"/>
        <w:sz w:val="20"/>
        <w:szCs w:val="20"/>
        <w:lang w:val="en-CA"/>
      </w:rPr>
    </w:pPr>
    <w:r w:rsidRPr="003C3A0F">
      <w:rPr>
        <w:color w:val="595959" w:themeColor="text1" w:themeTint="A6"/>
        <w:sz w:val="20"/>
        <w:szCs w:val="20"/>
      </w:rPr>
      <w:t xml:space="preserve">ACE WIL BC/Yukon &amp; ACCE WIL BC </w:t>
    </w:r>
    <w:r w:rsidRPr="004D4B62">
      <w:rPr>
        <w:rFonts w:ascii="Arial" w:eastAsia="Times New Roman" w:hAnsi="Arial" w:cs="Arial"/>
        <w:color w:val="595959" w:themeColor="text1" w:themeTint="A6"/>
        <w:sz w:val="20"/>
        <w:szCs w:val="20"/>
        <w:shd w:val="clear" w:color="auto" w:fill="FFFFFF"/>
        <w:lang w:val="en-CA"/>
      </w:rPr>
      <w:t>I</w:t>
    </w:r>
    <w:r w:rsidR="004D4B62">
      <w:rPr>
        <w:rFonts w:ascii="Arial" w:eastAsia="Times New Roman" w:hAnsi="Arial" w:cs="Arial"/>
        <w:color w:val="595959" w:themeColor="text1" w:themeTint="A6"/>
        <w:sz w:val="20"/>
        <w:szCs w:val="20"/>
        <w:shd w:val="clear" w:color="auto" w:fill="FFFFFF"/>
        <w:lang w:val="en-CA"/>
      </w:rPr>
      <w:t xml:space="preserve"> </w:t>
    </w:r>
    <w:r w:rsidRPr="003C3A0F">
      <w:rPr>
        <w:i/>
        <w:color w:val="595959" w:themeColor="text1" w:themeTint="A6"/>
        <w:sz w:val="20"/>
        <w:szCs w:val="20"/>
      </w:rPr>
      <w:t>Supporting increased participation and equity in WIL in BC</w:t>
    </w:r>
    <w:r w:rsidRPr="00400B69">
      <w:rPr>
        <w:color w:val="595959" w:themeColor="text1" w:themeTint="A6"/>
      </w:rPr>
      <w:t xml:space="preserve">  </w:t>
    </w:r>
    <w:r w:rsidR="00F81ED4">
      <w:rPr>
        <w:color w:val="595959" w:themeColor="text1" w:themeTint="A6"/>
      </w:rPr>
      <w:tab/>
    </w:r>
    <w:r w:rsidR="00F81ED4">
      <w:rPr>
        <w:color w:val="595959" w:themeColor="text1" w:themeTint="A6"/>
      </w:rPr>
      <w:tab/>
    </w:r>
    <w:r w:rsidRPr="00400B69">
      <w:rPr>
        <w:color w:val="595959" w:themeColor="text1" w:themeTint="A6"/>
      </w:rPr>
      <w:fldChar w:fldCharType="begin"/>
    </w:r>
    <w:r w:rsidRPr="00400B69">
      <w:rPr>
        <w:color w:val="595959" w:themeColor="text1" w:themeTint="A6"/>
      </w:rPr>
      <w:instrText>PAGE</w:instrText>
    </w:r>
    <w:r w:rsidRPr="00400B69">
      <w:rPr>
        <w:color w:val="595959" w:themeColor="text1" w:themeTint="A6"/>
      </w:rPr>
      <w:fldChar w:fldCharType="separate"/>
    </w:r>
    <w:r w:rsidR="00B106A0">
      <w:rPr>
        <w:noProof/>
        <w:color w:val="595959" w:themeColor="text1" w:themeTint="A6"/>
      </w:rPr>
      <w:t>3</w:t>
    </w:r>
    <w:r w:rsidRPr="00400B69">
      <w:rPr>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0FFFA" w14:textId="77777777" w:rsidR="00F13BD3" w:rsidRDefault="00F13BD3">
      <w:pPr>
        <w:spacing w:after="0" w:line="240" w:lineRule="auto"/>
      </w:pPr>
      <w:r>
        <w:separator/>
      </w:r>
    </w:p>
  </w:footnote>
  <w:footnote w:type="continuationSeparator" w:id="0">
    <w:p w14:paraId="5DDDB9D4" w14:textId="77777777" w:rsidR="00F13BD3" w:rsidRDefault="00F13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634"/>
    <w:multiLevelType w:val="hybridMultilevel"/>
    <w:tmpl w:val="827A13D2"/>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6678"/>
    <w:multiLevelType w:val="hybridMultilevel"/>
    <w:tmpl w:val="8FDA2268"/>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3891"/>
    <w:multiLevelType w:val="hybridMultilevel"/>
    <w:tmpl w:val="AB0C93A8"/>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433D2"/>
    <w:multiLevelType w:val="hybridMultilevel"/>
    <w:tmpl w:val="983A7FCA"/>
    <w:lvl w:ilvl="0" w:tplc="DC3C86AA">
      <w:start w:val="1"/>
      <w:numFmt w:val="bullet"/>
      <w:pStyle w:val="HeadingE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615BF"/>
    <w:multiLevelType w:val="hybridMultilevel"/>
    <w:tmpl w:val="C5C0EF48"/>
    <w:lvl w:ilvl="0" w:tplc="7A42D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2207"/>
    <w:multiLevelType w:val="hybridMultilevel"/>
    <w:tmpl w:val="4796941A"/>
    <w:lvl w:ilvl="0" w:tplc="7A42D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D4226"/>
    <w:multiLevelType w:val="hybridMultilevel"/>
    <w:tmpl w:val="F7CA8A32"/>
    <w:lvl w:ilvl="0" w:tplc="7A42D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265E7"/>
    <w:multiLevelType w:val="hybridMultilevel"/>
    <w:tmpl w:val="35460684"/>
    <w:lvl w:ilvl="0" w:tplc="7A42D6B8">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0DE1CCF"/>
    <w:multiLevelType w:val="hybridMultilevel"/>
    <w:tmpl w:val="CB9A5A72"/>
    <w:lvl w:ilvl="0" w:tplc="7A42D6B8">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1BE3117"/>
    <w:multiLevelType w:val="hybridMultilevel"/>
    <w:tmpl w:val="5D146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E722C"/>
    <w:multiLevelType w:val="hybridMultilevel"/>
    <w:tmpl w:val="A4107A36"/>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B4098"/>
    <w:multiLevelType w:val="hybridMultilevel"/>
    <w:tmpl w:val="E1F2A19E"/>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3421A"/>
    <w:multiLevelType w:val="hybridMultilevel"/>
    <w:tmpl w:val="33C09382"/>
    <w:lvl w:ilvl="0" w:tplc="24D68992">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F6032"/>
    <w:multiLevelType w:val="multilevel"/>
    <w:tmpl w:val="3AF09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1651F4"/>
    <w:multiLevelType w:val="hybridMultilevel"/>
    <w:tmpl w:val="655E5136"/>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12581"/>
    <w:multiLevelType w:val="multilevel"/>
    <w:tmpl w:val="24E85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1A0EA2"/>
    <w:multiLevelType w:val="multilevel"/>
    <w:tmpl w:val="3A3ED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BD093D"/>
    <w:multiLevelType w:val="hybridMultilevel"/>
    <w:tmpl w:val="8A1843C6"/>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53E46"/>
    <w:multiLevelType w:val="hybridMultilevel"/>
    <w:tmpl w:val="EC1C9A46"/>
    <w:lvl w:ilvl="0" w:tplc="3492533A">
      <w:start w:val="1"/>
      <w:numFmt w:val="bullet"/>
      <w:lvlText w:val=""/>
      <w:lvlJc w:val="left"/>
      <w:pPr>
        <w:ind w:left="940" w:hanging="486"/>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781A"/>
    <w:multiLevelType w:val="hybridMultilevel"/>
    <w:tmpl w:val="9B3E2938"/>
    <w:lvl w:ilvl="0" w:tplc="7A42D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47260"/>
    <w:multiLevelType w:val="multilevel"/>
    <w:tmpl w:val="36361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8376A7"/>
    <w:multiLevelType w:val="multilevel"/>
    <w:tmpl w:val="78887F3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467F4672"/>
    <w:multiLevelType w:val="multilevel"/>
    <w:tmpl w:val="B0401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6C4855"/>
    <w:multiLevelType w:val="multilevel"/>
    <w:tmpl w:val="732E053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49A44BC7"/>
    <w:multiLevelType w:val="hybridMultilevel"/>
    <w:tmpl w:val="200E1580"/>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02643"/>
    <w:multiLevelType w:val="hybridMultilevel"/>
    <w:tmpl w:val="88384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83189"/>
    <w:multiLevelType w:val="hybridMultilevel"/>
    <w:tmpl w:val="7BB6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C0CE0"/>
    <w:multiLevelType w:val="multilevel"/>
    <w:tmpl w:val="43E4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47161A"/>
    <w:multiLevelType w:val="multilevel"/>
    <w:tmpl w:val="75E2F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B62D08"/>
    <w:multiLevelType w:val="multilevel"/>
    <w:tmpl w:val="75E2F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FF4C5C"/>
    <w:multiLevelType w:val="hybridMultilevel"/>
    <w:tmpl w:val="88384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0428C"/>
    <w:multiLevelType w:val="hybridMultilevel"/>
    <w:tmpl w:val="7EA05EFE"/>
    <w:lvl w:ilvl="0" w:tplc="7A42D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07448"/>
    <w:multiLevelType w:val="multilevel"/>
    <w:tmpl w:val="71DC8A7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3" w15:restartNumberingAfterBreak="0">
    <w:nsid w:val="723C26ED"/>
    <w:multiLevelType w:val="hybridMultilevel"/>
    <w:tmpl w:val="12A81786"/>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63AFC"/>
    <w:multiLevelType w:val="hybridMultilevel"/>
    <w:tmpl w:val="82EC3B2A"/>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83621"/>
    <w:multiLevelType w:val="hybridMultilevel"/>
    <w:tmpl w:val="923A4120"/>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F0E63"/>
    <w:multiLevelType w:val="hybridMultilevel"/>
    <w:tmpl w:val="FF029FC8"/>
    <w:lvl w:ilvl="0" w:tplc="7A42D6B8">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7C525DF"/>
    <w:multiLevelType w:val="hybridMultilevel"/>
    <w:tmpl w:val="0AA250FC"/>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71472"/>
    <w:multiLevelType w:val="multilevel"/>
    <w:tmpl w:val="19A66E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A014697"/>
    <w:multiLevelType w:val="hybridMultilevel"/>
    <w:tmpl w:val="37B6B070"/>
    <w:lvl w:ilvl="0" w:tplc="64020334">
      <w:start w:val="1"/>
      <w:numFmt w:val="bullet"/>
      <w:lvlText w:val=""/>
      <w:lvlJc w:val="left"/>
      <w:pPr>
        <w:ind w:left="940" w:hanging="486"/>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007F0"/>
    <w:multiLevelType w:val="multilevel"/>
    <w:tmpl w:val="821A9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D8D5509"/>
    <w:multiLevelType w:val="hybridMultilevel"/>
    <w:tmpl w:val="B2B2FB96"/>
    <w:lvl w:ilvl="0" w:tplc="7A42D6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20"/>
  </w:num>
  <w:num w:numId="4">
    <w:abstractNumId w:val="27"/>
  </w:num>
  <w:num w:numId="5">
    <w:abstractNumId w:val="16"/>
  </w:num>
  <w:num w:numId="6">
    <w:abstractNumId w:val="15"/>
  </w:num>
  <w:num w:numId="7">
    <w:abstractNumId w:val="40"/>
  </w:num>
  <w:num w:numId="8">
    <w:abstractNumId w:val="13"/>
  </w:num>
  <w:num w:numId="9">
    <w:abstractNumId w:val="21"/>
  </w:num>
  <w:num w:numId="10">
    <w:abstractNumId w:val="23"/>
  </w:num>
  <w:num w:numId="11">
    <w:abstractNumId w:val="22"/>
  </w:num>
  <w:num w:numId="12">
    <w:abstractNumId w:val="29"/>
  </w:num>
  <w:num w:numId="13">
    <w:abstractNumId w:val="26"/>
  </w:num>
  <w:num w:numId="14">
    <w:abstractNumId w:val="19"/>
  </w:num>
  <w:num w:numId="15">
    <w:abstractNumId w:val="2"/>
  </w:num>
  <w:num w:numId="16">
    <w:abstractNumId w:val="12"/>
  </w:num>
  <w:num w:numId="17">
    <w:abstractNumId w:val="3"/>
  </w:num>
  <w:num w:numId="18">
    <w:abstractNumId w:val="0"/>
  </w:num>
  <w:num w:numId="19">
    <w:abstractNumId w:val="41"/>
  </w:num>
  <w:num w:numId="20">
    <w:abstractNumId w:val="33"/>
  </w:num>
  <w:num w:numId="21">
    <w:abstractNumId w:val="17"/>
  </w:num>
  <w:num w:numId="22">
    <w:abstractNumId w:val="11"/>
  </w:num>
  <w:num w:numId="23">
    <w:abstractNumId w:val="35"/>
  </w:num>
  <w:num w:numId="24">
    <w:abstractNumId w:val="1"/>
  </w:num>
  <w:num w:numId="25">
    <w:abstractNumId w:val="10"/>
  </w:num>
  <w:num w:numId="26">
    <w:abstractNumId w:val="24"/>
  </w:num>
  <w:num w:numId="27">
    <w:abstractNumId w:val="37"/>
  </w:num>
  <w:num w:numId="28">
    <w:abstractNumId w:val="14"/>
  </w:num>
  <w:num w:numId="29">
    <w:abstractNumId w:val="34"/>
  </w:num>
  <w:num w:numId="30">
    <w:abstractNumId w:val="5"/>
  </w:num>
  <w:num w:numId="31">
    <w:abstractNumId w:val="31"/>
  </w:num>
  <w:num w:numId="32">
    <w:abstractNumId w:val="4"/>
  </w:num>
  <w:num w:numId="33">
    <w:abstractNumId w:val="28"/>
  </w:num>
  <w:num w:numId="34">
    <w:abstractNumId w:val="6"/>
  </w:num>
  <w:num w:numId="35">
    <w:abstractNumId w:val="9"/>
  </w:num>
  <w:num w:numId="36">
    <w:abstractNumId w:val="36"/>
  </w:num>
  <w:num w:numId="37">
    <w:abstractNumId w:val="30"/>
  </w:num>
  <w:num w:numId="38">
    <w:abstractNumId w:val="25"/>
  </w:num>
  <w:num w:numId="39">
    <w:abstractNumId w:val="7"/>
  </w:num>
  <w:num w:numId="40">
    <w:abstractNumId w:val="8"/>
  </w:num>
  <w:num w:numId="41">
    <w:abstractNumId w:val="3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3"/>
    <w:rsid w:val="00004186"/>
    <w:rsid w:val="00016DFC"/>
    <w:rsid w:val="00036876"/>
    <w:rsid w:val="00042D93"/>
    <w:rsid w:val="00072696"/>
    <w:rsid w:val="00084054"/>
    <w:rsid w:val="000A25A8"/>
    <w:rsid w:val="000C7B25"/>
    <w:rsid w:val="00116ECA"/>
    <w:rsid w:val="00117308"/>
    <w:rsid w:val="0012170B"/>
    <w:rsid w:val="00122B16"/>
    <w:rsid w:val="00122C44"/>
    <w:rsid w:val="00123CDC"/>
    <w:rsid w:val="00126288"/>
    <w:rsid w:val="00147CD5"/>
    <w:rsid w:val="001644A7"/>
    <w:rsid w:val="001765B7"/>
    <w:rsid w:val="001C7A45"/>
    <w:rsid w:val="0020050B"/>
    <w:rsid w:val="00202AA3"/>
    <w:rsid w:val="00203184"/>
    <w:rsid w:val="002269B0"/>
    <w:rsid w:val="00232810"/>
    <w:rsid w:val="0028501B"/>
    <w:rsid w:val="002A223B"/>
    <w:rsid w:val="002A26D9"/>
    <w:rsid w:val="002C4E08"/>
    <w:rsid w:val="00314598"/>
    <w:rsid w:val="0033251D"/>
    <w:rsid w:val="003426F1"/>
    <w:rsid w:val="00370835"/>
    <w:rsid w:val="0037196A"/>
    <w:rsid w:val="0038470C"/>
    <w:rsid w:val="00384C68"/>
    <w:rsid w:val="00393E92"/>
    <w:rsid w:val="00394A1E"/>
    <w:rsid w:val="00397B8F"/>
    <w:rsid w:val="003A7441"/>
    <w:rsid w:val="003B73E3"/>
    <w:rsid w:val="003C010B"/>
    <w:rsid w:val="003C20CE"/>
    <w:rsid w:val="003C3A0F"/>
    <w:rsid w:val="003D70B9"/>
    <w:rsid w:val="003E6507"/>
    <w:rsid w:val="003E78D7"/>
    <w:rsid w:val="003F3E40"/>
    <w:rsid w:val="00400B69"/>
    <w:rsid w:val="004077DD"/>
    <w:rsid w:val="00422025"/>
    <w:rsid w:val="004303E5"/>
    <w:rsid w:val="00447D33"/>
    <w:rsid w:val="00453983"/>
    <w:rsid w:val="004756CA"/>
    <w:rsid w:val="004A1601"/>
    <w:rsid w:val="004A76A5"/>
    <w:rsid w:val="004D4B62"/>
    <w:rsid w:val="004E23CA"/>
    <w:rsid w:val="004E2ECE"/>
    <w:rsid w:val="004E5476"/>
    <w:rsid w:val="004E6CD5"/>
    <w:rsid w:val="004F0AB4"/>
    <w:rsid w:val="00542120"/>
    <w:rsid w:val="00543999"/>
    <w:rsid w:val="0054471C"/>
    <w:rsid w:val="00554B6B"/>
    <w:rsid w:val="00555518"/>
    <w:rsid w:val="0058176A"/>
    <w:rsid w:val="005907BF"/>
    <w:rsid w:val="00591CBB"/>
    <w:rsid w:val="005963C0"/>
    <w:rsid w:val="005B7647"/>
    <w:rsid w:val="005C5A7B"/>
    <w:rsid w:val="005D4808"/>
    <w:rsid w:val="005E44AB"/>
    <w:rsid w:val="005F48EF"/>
    <w:rsid w:val="00623638"/>
    <w:rsid w:val="006434C1"/>
    <w:rsid w:val="006438C9"/>
    <w:rsid w:val="00652099"/>
    <w:rsid w:val="00671075"/>
    <w:rsid w:val="006766FD"/>
    <w:rsid w:val="00680509"/>
    <w:rsid w:val="006826C9"/>
    <w:rsid w:val="006903C2"/>
    <w:rsid w:val="00696993"/>
    <w:rsid w:val="006A688E"/>
    <w:rsid w:val="006C19F6"/>
    <w:rsid w:val="006E7F7E"/>
    <w:rsid w:val="007115C8"/>
    <w:rsid w:val="00733A39"/>
    <w:rsid w:val="00747112"/>
    <w:rsid w:val="007D1948"/>
    <w:rsid w:val="007F655C"/>
    <w:rsid w:val="00800C80"/>
    <w:rsid w:val="008256DB"/>
    <w:rsid w:val="008267C3"/>
    <w:rsid w:val="00842CE8"/>
    <w:rsid w:val="00854DD4"/>
    <w:rsid w:val="008727A1"/>
    <w:rsid w:val="008841C6"/>
    <w:rsid w:val="008919FF"/>
    <w:rsid w:val="00892FD9"/>
    <w:rsid w:val="008A0883"/>
    <w:rsid w:val="008B5632"/>
    <w:rsid w:val="008F3BBD"/>
    <w:rsid w:val="0090081D"/>
    <w:rsid w:val="009379EE"/>
    <w:rsid w:val="009613E6"/>
    <w:rsid w:val="009A0EFD"/>
    <w:rsid w:val="009C2776"/>
    <w:rsid w:val="009C5EE4"/>
    <w:rsid w:val="009F1637"/>
    <w:rsid w:val="00A44F9A"/>
    <w:rsid w:val="00A50A4C"/>
    <w:rsid w:val="00A55540"/>
    <w:rsid w:val="00A71C05"/>
    <w:rsid w:val="00A74CDC"/>
    <w:rsid w:val="00AF5E6D"/>
    <w:rsid w:val="00B055D8"/>
    <w:rsid w:val="00B106A0"/>
    <w:rsid w:val="00B24CB9"/>
    <w:rsid w:val="00B53C96"/>
    <w:rsid w:val="00B773C0"/>
    <w:rsid w:val="00B82486"/>
    <w:rsid w:val="00B90F86"/>
    <w:rsid w:val="00BA76D2"/>
    <w:rsid w:val="00BD2FF0"/>
    <w:rsid w:val="00C35427"/>
    <w:rsid w:val="00CB6114"/>
    <w:rsid w:val="00CE1F45"/>
    <w:rsid w:val="00CF6725"/>
    <w:rsid w:val="00D15DE1"/>
    <w:rsid w:val="00D45DD0"/>
    <w:rsid w:val="00DA77E1"/>
    <w:rsid w:val="00DE5CFB"/>
    <w:rsid w:val="00F04C24"/>
    <w:rsid w:val="00F13BD3"/>
    <w:rsid w:val="00F21E84"/>
    <w:rsid w:val="00F30093"/>
    <w:rsid w:val="00F3343F"/>
    <w:rsid w:val="00F36E0C"/>
    <w:rsid w:val="00F40B8F"/>
    <w:rsid w:val="00F62947"/>
    <w:rsid w:val="00F805ED"/>
    <w:rsid w:val="00F81ED4"/>
    <w:rsid w:val="00F91B43"/>
    <w:rsid w:val="00FC7F8E"/>
    <w:rsid w:val="00FE01BA"/>
    <w:rsid w:val="00FE52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3A719"/>
  <w15:docId w15:val="{DB1F530F-9165-4AFE-B4E3-C68F5CB1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before="480" w:after="120"/>
      <w:contextualSpacing/>
      <w:outlineLvl w:val="0"/>
    </w:pPr>
    <w:rPr>
      <w:smallCaps/>
      <w:color w:val="1F497D"/>
      <w:sz w:val="32"/>
      <w:szCs w:val="32"/>
    </w:rPr>
  </w:style>
  <w:style w:type="paragraph" w:styleId="Heading2">
    <w:name w:val="heading 2"/>
    <w:basedOn w:val="Normal1"/>
    <w:next w:val="Normal1"/>
    <w:pPr>
      <w:spacing w:before="200" w:after="360" w:line="271" w:lineRule="auto"/>
      <w:outlineLvl w:val="1"/>
    </w:pPr>
    <w:rPr>
      <w:smallCaps/>
      <w:sz w:val="28"/>
      <w:szCs w:val="28"/>
    </w:rPr>
  </w:style>
  <w:style w:type="paragraph" w:styleId="Heading3">
    <w:name w:val="heading 3"/>
    <w:basedOn w:val="Normal1"/>
    <w:next w:val="Normal1"/>
    <w:pPr>
      <w:spacing w:before="200" w:after="0" w:line="271" w:lineRule="auto"/>
      <w:outlineLvl w:val="2"/>
    </w:pPr>
    <w:rPr>
      <w:i/>
      <w:smallCaps/>
      <w:sz w:val="26"/>
      <w:szCs w:val="26"/>
    </w:rPr>
  </w:style>
  <w:style w:type="paragraph" w:styleId="Heading4">
    <w:name w:val="heading 4"/>
    <w:basedOn w:val="Normal1"/>
    <w:next w:val="Normal1"/>
    <w:pPr>
      <w:spacing w:after="0" w:line="271" w:lineRule="auto"/>
      <w:outlineLvl w:val="3"/>
    </w:pPr>
    <w:rPr>
      <w:b/>
      <w:sz w:val="24"/>
      <w:szCs w:val="24"/>
    </w:rPr>
  </w:style>
  <w:style w:type="paragraph" w:styleId="Heading5">
    <w:name w:val="heading 5"/>
    <w:basedOn w:val="Normal1"/>
    <w:next w:val="Normal1"/>
    <w:pPr>
      <w:spacing w:after="0" w:line="271" w:lineRule="auto"/>
      <w:outlineLvl w:val="4"/>
    </w:pPr>
    <w:rPr>
      <w:i/>
      <w:sz w:val="24"/>
      <w:szCs w:val="24"/>
    </w:rPr>
  </w:style>
  <w:style w:type="paragraph" w:styleId="Heading6">
    <w:name w:val="heading 6"/>
    <w:basedOn w:val="Normal1"/>
    <w:next w:val="Normal1"/>
    <w:pPr>
      <w:shd w:val="clear" w:color="auto" w:fill="FFFFFF"/>
      <w:spacing w:after="0" w:line="271" w:lineRule="auto"/>
      <w:outlineLvl w:val="5"/>
    </w:pPr>
    <w:rPr>
      <w:b/>
      <w:color w:val="595959"/>
    </w:rPr>
  </w:style>
  <w:style w:type="paragraph" w:styleId="Heading7">
    <w:name w:val="heading 7"/>
    <w:basedOn w:val="Normal"/>
    <w:next w:val="Normal"/>
    <w:link w:val="Heading7Char"/>
    <w:uiPriority w:val="9"/>
    <w:unhideWhenUsed/>
    <w:qFormat/>
    <w:rsid w:val="00DE5C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5554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after="300" w:line="240" w:lineRule="auto"/>
      <w:contextualSpacing/>
    </w:pPr>
    <w:rPr>
      <w:smallCaps/>
      <w:sz w:val="52"/>
      <w:szCs w:val="52"/>
    </w:rPr>
  </w:style>
  <w:style w:type="paragraph" w:styleId="Subtitle">
    <w:name w:val="Subtitle"/>
    <w:basedOn w:val="Normal1"/>
    <w:next w:val="Normal1"/>
    <w:rPr>
      <w:i/>
      <w:smallCaps/>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267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7C3"/>
    <w:rPr>
      <w:rFonts w:ascii="Lucida Grande" w:hAnsi="Lucida Grande" w:cs="Lucida Grande"/>
      <w:sz w:val="18"/>
      <w:szCs w:val="18"/>
    </w:rPr>
  </w:style>
  <w:style w:type="paragraph" w:styleId="Header">
    <w:name w:val="header"/>
    <w:basedOn w:val="Normal"/>
    <w:link w:val="HeaderChar"/>
    <w:uiPriority w:val="99"/>
    <w:unhideWhenUsed/>
    <w:rsid w:val="00400B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0B69"/>
  </w:style>
  <w:style w:type="paragraph" w:styleId="Footer">
    <w:name w:val="footer"/>
    <w:basedOn w:val="Normal"/>
    <w:link w:val="FooterChar"/>
    <w:uiPriority w:val="99"/>
    <w:unhideWhenUsed/>
    <w:rsid w:val="00400B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0B69"/>
  </w:style>
  <w:style w:type="character" w:styleId="Emphasis">
    <w:name w:val="Emphasis"/>
    <w:basedOn w:val="DefaultParagraphFont"/>
    <w:uiPriority w:val="20"/>
    <w:qFormat/>
    <w:rsid w:val="00DE5CFB"/>
    <w:rPr>
      <w:i/>
      <w:iCs/>
    </w:rPr>
  </w:style>
  <w:style w:type="character" w:styleId="Strong">
    <w:name w:val="Strong"/>
    <w:basedOn w:val="DefaultParagraphFont"/>
    <w:uiPriority w:val="22"/>
    <w:qFormat/>
    <w:rsid w:val="00DE5CFB"/>
    <w:rPr>
      <w:b/>
      <w:bCs/>
    </w:rPr>
  </w:style>
  <w:style w:type="character" w:customStyle="1" w:styleId="Heading7Char">
    <w:name w:val="Heading 7 Char"/>
    <w:basedOn w:val="DefaultParagraphFont"/>
    <w:link w:val="Heading7"/>
    <w:uiPriority w:val="9"/>
    <w:rsid w:val="00DE5CFB"/>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90081D"/>
    <w:pPr>
      <w:ind w:left="720"/>
      <w:contextualSpacing/>
    </w:pPr>
  </w:style>
  <w:style w:type="paragraph" w:styleId="Quote">
    <w:name w:val="Quote"/>
    <w:basedOn w:val="Normal"/>
    <w:next w:val="Normal"/>
    <w:link w:val="QuoteChar"/>
    <w:uiPriority w:val="29"/>
    <w:qFormat/>
    <w:rsid w:val="0090081D"/>
    <w:rPr>
      <w:i/>
      <w:iCs/>
      <w:color w:val="000000" w:themeColor="text1"/>
    </w:rPr>
  </w:style>
  <w:style w:type="character" w:customStyle="1" w:styleId="QuoteChar">
    <w:name w:val="Quote Char"/>
    <w:basedOn w:val="DefaultParagraphFont"/>
    <w:link w:val="Quote"/>
    <w:uiPriority w:val="29"/>
    <w:rsid w:val="0090081D"/>
    <w:rPr>
      <w:i/>
      <w:iCs/>
      <w:color w:val="000000" w:themeColor="text1"/>
    </w:rPr>
  </w:style>
  <w:style w:type="character" w:customStyle="1" w:styleId="Heading8Char">
    <w:name w:val="Heading 8 Char"/>
    <w:basedOn w:val="DefaultParagraphFont"/>
    <w:link w:val="Heading8"/>
    <w:uiPriority w:val="9"/>
    <w:rsid w:val="00A55540"/>
    <w:rPr>
      <w:rFonts w:asciiTheme="majorHAnsi" w:eastAsiaTheme="majorEastAsia" w:hAnsiTheme="majorHAnsi" w:cstheme="majorBidi"/>
      <w:color w:val="404040" w:themeColor="text1" w:themeTint="BF"/>
      <w:sz w:val="20"/>
      <w:szCs w:val="20"/>
    </w:rPr>
  </w:style>
  <w:style w:type="character" w:styleId="IntenseEmphasis">
    <w:name w:val="Intense Emphasis"/>
    <w:basedOn w:val="DefaultParagraphFont"/>
    <w:uiPriority w:val="21"/>
    <w:qFormat/>
    <w:rsid w:val="00A55540"/>
    <w:rPr>
      <w:b/>
      <w:bCs/>
      <w:i/>
      <w:iCs/>
      <w:color w:val="4F81BD" w:themeColor="accent1"/>
    </w:rPr>
  </w:style>
  <w:style w:type="character" w:styleId="BookTitle">
    <w:name w:val="Book Title"/>
    <w:basedOn w:val="DefaultParagraphFont"/>
    <w:uiPriority w:val="33"/>
    <w:qFormat/>
    <w:rsid w:val="005963C0"/>
    <w:rPr>
      <w:bCs/>
      <w:i/>
      <w:color w:val="1F497D" w:themeColor="text2"/>
      <w:spacing w:val="5"/>
    </w:rPr>
  </w:style>
  <w:style w:type="table" w:styleId="TableGrid">
    <w:name w:val="Table Grid"/>
    <w:basedOn w:val="TableNormal"/>
    <w:uiPriority w:val="59"/>
    <w:rsid w:val="00117308"/>
    <w:pPr>
      <w:spacing w:after="0" w:line="240" w:lineRule="auto"/>
    </w:pPr>
    <w:rPr>
      <w:rFonts w:ascii="Arial" w:eastAsiaTheme="minorEastAsia" w:hAnsi="Arial" w:cstheme="minorBid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DefaultParagraphFont"/>
    <w:rsid w:val="006826C9"/>
  </w:style>
  <w:style w:type="paragraph" w:styleId="TOCHeading">
    <w:name w:val="TOC Heading"/>
    <w:basedOn w:val="Heading1"/>
    <w:next w:val="Normal"/>
    <w:uiPriority w:val="39"/>
    <w:unhideWhenUsed/>
    <w:qFormat/>
    <w:rsid w:val="007D1948"/>
    <w:pPr>
      <w:keepNext/>
      <w:keepLines/>
      <w:spacing w:after="0"/>
      <w:contextualSpacing w:val="0"/>
      <w:outlineLvl w:val="9"/>
    </w:pPr>
    <w:rPr>
      <w:rFonts w:asciiTheme="majorHAnsi" w:eastAsiaTheme="majorEastAsia" w:hAnsiTheme="majorHAnsi" w:cstheme="majorBidi"/>
      <w:b/>
      <w:bCs/>
      <w:smallCaps w:val="0"/>
      <w:color w:val="365F91" w:themeColor="accent1" w:themeShade="BF"/>
      <w:sz w:val="28"/>
      <w:szCs w:val="28"/>
    </w:rPr>
  </w:style>
  <w:style w:type="paragraph" w:styleId="TOC1">
    <w:name w:val="toc 1"/>
    <w:basedOn w:val="Normal"/>
    <w:next w:val="Normal"/>
    <w:autoRedefine/>
    <w:uiPriority w:val="39"/>
    <w:unhideWhenUsed/>
    <w:rsid w:val="007D1948"/>
    <w:pPr>
      <w:spacing w:before="120" w:after="0"/>
    </w:pPr>
    <w:rPr>
      <w:rFonts w:asciiTheme="minorHAnsi" w:hAnsiTheme="minorHAnsi"/>
      <w:b/>
      <w:caps/>
    </w:rPr>
  </w:style>
  <w:style w:type="paragraph" w:styleId="TOC2">
    <w:name w:val="toc 2"/>
    <w:basedOn w:val="Normal"/>
    <w:next w:val="Normal"/>
    <w:autoRedefine/>
    <w:uiPriority w:val="39"/>
    <w:unhideWhenUsed/>
    <w:rsid w:val="007D1948"/>
    <w:pPr>
      <w:spacing w:after="0"/>
      <w:ind w:left="220"/>
    </w:pPr>
    <w:rPr>
      <w:rFonts w:asciiTheme="minorHAnsi" w:hAnsiTheme="minorHAnsi"/>
      <w:smallCaps/>
    </w:rPr>
  </w:style>
  <w:style w:type="paragraph" w:styleId="TOC3">
    <w:name w:val="toc 3"/>
    <w:basedOn w:val="Normal"/>
    <w:next w:val="Normal"/>
    <w:autoRedefine/>
    <w:uiPriority w:val="39"/>
    <w:semiHidden/>
    <w:unhideWhenUsed/>
    <w:rsid w:val="007D1948"/>
    <w:pPr>
      <w:spacing w:after="0"/>
      <w:ind w:left="440"/>
    </w:pPr>
    <w:rPr>
      <w:rFonts w:asciiTheme="minorHAnsi" w:hAnsiTheme="minorHAnsi"/>
      <w:i/>
    </w:rPr>
  </w:style>
  <w:style w:type="paragraph" w:styleId="TOC4">
    <w:name w:val="toc 4"/>
    <w:basedOn w:val="Normal"/>
    <w:next w:val="Normal"/>
    <w:autoRedefine/>
    <w:uiPriority w:val="39"/>
    <w:semiHidden/>
    <w:unhideWhenUsed/>
    <w:rsid w:val="007D1948"/>
    <w:pPr>
      <w:spacing w:after="0"/>
      <w:ind w:left="660"/>
    </w:pPr>
    <w:rPr>
      <w:rFonts w:asciiTheme="minorHAnsi" w:hAnsiTheme="minorHAnsi"/>
      <w:sz w:val="18"/>
      <w:szCs w:val="18"/>
    </w:rPr>
  </w:style>
  <w:style w:type="paragraph" w:styleId="TOC5">
    <w:name w:val="toc 5"/>
    <w:basedOn w:val="Normal"/>
    <w:next w:val="Normal"/>
    <w:autoRedefine/>
    <w:uiPriority w:val="39"/>
    <w:semiHidden/>
    <w:unhideWhenUsed/>
    <w:rsid w:val="007D1948"/>
    <w:pPr>
      <w:spacing w:after="0"/>
      <w:ind w:left="880"/>
    </w:pPr>
    <w:rPr>
      <w:rFonts w:asciiTheme="minorHAnsi" w:hAnsiTheme="minorHAnsi"/>
      <w:sz w:val="18"/>
      <w:szCs w:val="18"/>
    </w:rPr>
  </w:style>
  <w:style w:type="paragraph" w:styleId="TOC6">
    <w:name w:val="toc 6"/>
    <w:basedOn w:val="Normal"/>
    <w:next w:val="Normal"/>
    <w:autoRedefine/>
    <w:uiPriority w:val="39"/>
    <w:semiHidden/>
    <w:unhideWhenUsed/>
    <w:rsid w:val="007D1948"/>
    <w:pPr>
      <w:spacing w:after="0"/>
      <w:ind w:left="1100"/>
    </w:pPr>
    <w:rPr>
      <w:rFonts w:asciiTheme="minorHAnsi" w:hAnsiTheme="minorHAnsi"/>
      <w:sz w:val="18"/>
      <w:szCs w:val="18"/>
    </w:rPr>
  </w:style>
  <w:style w:type="paragraph" w:styleId="TOC7">
    <w:name w:val="toc 7"/>
    <w:basedOn w:val="Normal"/>
    <w:next w:val="Normal"/>
    <w:autoRedefine/>
    <w:uiPriority w:val="39"/>
    <w:semiHidden/>
    <w:unhideWhenUsed/>
    <w:rsid w:val="007D1948"/>
    <w:pPr>
      <w:spacing w:after="0"/>
      <w:ind w:left="1320"/>
    </w:pPr>
    <w:rPr>
      <w:rFonts w:asciiTheme="minorHAnsi" w:hAnsiTheme="minorHAnsi"/>
      <w:sz w:val="18"/>
      <w:szCs w:val="18"/>
    </w:rPr>
  </w:style>
  <w:style w:type="paragraph" w:styleId="TOC8">
    <w:name w:val="toc 8"/>
    <w:basedOn w:val="Normal"/>
    <w:next w:val="Normal"/>
    <w:autoRedefine/>
    <w:uiPriority w:val="39"/>
    <w:semiHidden/>
    <w:unhideWhenUsed/>
    <w:rsid w:val="007D1948"/>
    <w:pPr>
      <w:spacing w:after="0"/>
      <w:ind w:left="1540"/>
    </w:pPr>
    <w:rPr>
      <w:rFonts w:asciiTheme="minorHAnsi" w:hAnsiTheme="minorHAnsi"/>
      <w:sz w:val="18"/>
      <w:szCs w:val="18"/>
    </w:rPr>
  </w:style>
  <w:style w:type="paragraph" w:styleId="TOC9">
    <w:name w:val="toc 9"/>
    <w:basedOn w:val="Normal"/>
    <w:next w:val="Normal"/>
    <w:autoRedefine/>
    <w:uiPriority w:val="39"/>
    <w:semiHidden/>
    <w:unhideWhenUsed/>
    <w:rsid w:val="007D1948"/>
    <w:pPr>
      <w:spacing w:after="0"/>
      <w:ind w:left="1760"/>
    </w:pPr>
    <w:rPr>
      <w:rFonts w:asciiTheme="minorHAnsi" w:hAnsiTheme="minorHAnsi"/>
      <w:sz w:val="18"/>
      <w:szCs w:val="18"/>
    </w:rPr>
  </w:style>
  <w:style w:type="paragraph" w:customStyle="1" w:styleId="HeadingE1">
    <w:name w:val="Heading E 1"/>
    <w:basedOn w:val="Heading1"/>
    <w:qFormat/>
    <w:rsid w:val="00B53C96"/>
    <w:pPr>
      <w:spacing w:before="0"/>
      <w:contextualSpacing w:val="0"/>
    </w:pPr>
    <w:rPr>
      <w:b/>
      <w:bCs/>
      <w:smallCaps w:val="0"/>
      <w:color w:val="1F497D" w:themeColor="text2"/>
      <w:sz w:val="28"/>
      <w:szCs w:val="28"/>
    </w:rPr>
  </w:style>
  <w:style w:type="paragraph" w:customStyle="1" w:styleId="HeadingE2">
    <w:name w:val="Heading E 2"/>
    <w:basedOn w:val="Normal1"/>
    <w:qFormat/>
    <w:rsid w:val="00384C68"/>
    <w:pPr>
      <w:pBdr>
        <w:top w:val="nil"/>
        <w:left w:val="nil"/>
        <w:bottom w:val="nil"/>
        <w:right w:val="nil"/>
        <w:between w:val="nil"/>
      </w:pBdr>
      <w:spacing w:after="120"/>
      <w:jc w:val="both"/>
    </w:pPr>
    <w:rPr>
      <w:b/>
      <w:bCs/>
      <w:color w:val="1F497D" w:themeColor="text2"/>
      <w:sz w:val="26"/>
      <w:szCs w:val="26"/>
    </w:rPr>
  </w:style>
  <w:style w:type="paragraph" w:customStyle="1" w:styleId="HeadingE3">
    <w:name w:val="Heading E 3"/>
    <w:basedOn w:val="Normal1"/>
    <w:qFormat/>
    <w:rsid w:val="006A688E"/>
    <w:pPr>
      <w:pBdr>
        <w:top w:val="nil"/>
        <w:left w:val="nil"/>
        <w:bottom w:val="nil"/>
        <w:right w:val="nil"/>
        <w:between w:val="nil"/>
      </w:pBdr>
      <w:spacing w:after="120"/>
    </w:pPr>
    <w:rPr>
      <w:b/>
      <w:bCs/>
      <w:sz w:val="24"/>
    </w:rPr>
  </w:style>
  <w:style w:type="paragraph" w:customStyle="1" w:styleId="HeadingE4">
    <w:name w:val="Heading E 4"/>
    <w:basedOn w:val="Heading7"/>
    <w:qFormat/>
    <w:rsid w:val="00126288"/>
    <w:pPr>
      <w:numPr>
        <w:numId w:val="17"/>
      </w:numPr>
      <w:ind w:left="425" w:hanging="425"/>
    </w:pPr>
    <w:rPr>
      <w:b/>
      <w:color w:val="000000" w:themeColor="text1"/>
    </w:rPr>
  </w:style>
  <w:style w:type="paragraph" w:customStyle="1" w:styleId="HeadingE5">
    <w:name w:val="Heading E 5"/>
    <w:basedOn w:val="Heading7"/>
    <w:qFormat/>
    <w:rsid w:val="00CE1F45"/>
    <w:pPr>
      <w:spacing w:after="60"/>
    </w:pPr>
    <w:rPr>
      <w:b/>
      <w:color w:val="auto"/>
    </w:rPr>
  </w:style>
  <w:style w:type="paragraph" w:styleId="BodyText">
    <w:name w:val="Body Text"/>
    <w:aliases w:val="Body Text E"/>
    <w:basedOn w:val="Normal"/>
    <w:link w:val="BodyTextChar"/>
    <w:uiPriority w:val="99"/>
    <w:unhideWhenUsed/>
    <w:rsid w:val="003C20CE"/>
    <w:pPr>
      <w:spacing w:after="240"/>
      <w:jc w:val="both"/>
    </w:pPr>
  </w:style>
  <w:style w:type="character" w:customStyle="1" w:styleId="BodyTextChar">
    <w:name w:val="Body Text Char"/>
    <w:aliases w:val="Body Text E Char"/>
    <w:basedOn w:val="DefaultParagraphFont"/>
    <w:link w:val="BodyText"/>
    <w:uiPriority w:val="99"/>
    <w:rsid w:val="003C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1319">
      <w:bodyDiv w:val="1"/>
      <w:marLeft w:val="0"/>
      <w:marRight w:val="0"/>
      <w:marTop w:val="0"/>
      <w:marBottom w:val="0"/>
      <w:divBdr>
        <w:top w:val="none" w:sz="0" w:space="0" w:color="auto"/>
        <w:left w:val="none" w:sz="0" w:space="0" w:color="auto"/>
        <w:bottom w:val="none" w:sz="0" w:space="0" w:color="auto"/>
        <w:right w:val="none" w:sz="0" w:space="0" w:color="auto"/>
      </w:divBdr>
    </w:div>
    <w:div w:id="770588042">
      <w:bodyDiv w:val="1"/>
      <w:marLeft w:val="0"/>
      <w:marRight w:val="0"/>
      <w:marTop w:val="0"/>
      <w:marBottom w:val="0"/>
      <w:divBdr>
        <w:top w:val="none" w:sz="0" w:space="0" w:color="auto"/>
        <w:left w:val="none" w:sz="0" w:space="0" w:color="auto"/>
        <w:bottom w:val="none" w:sz="0" w:space="0" w:color="auto"/>
        <w:right w:val="none" w:sz="0" w:space="0" w:color="auto"/>
      </w:divBdr>
    </w:div>
    <w:div w:id="1074281623">
      <w:bodyDiv w:val="1"/>
      <w:marLeft w:val="0"/>
      <w:marRight w:val="0"/>
      <w:marTop w:val="0"/>
      <w:marBottom w:val="0"/>
      <w:divBdr>
        <w:top w:val="none" w:sz="0" w:space="0" w:color="auto"/>
        <w:left w:val="none" w:sz="0" w:space="0" w:color="auto"/>
        <w:bottom w:val="none" w:sz="0" w:space="0" w:color="auto"/>
        <w:right w:val="none" w:sz="0" w:space="0" w:color="auto"/>
      </w:divBdr>
    </w:div>
    <w:div w:id="1119496636">
      <w:bodyDiv w:val="1"/>
      <w:marLeft w:val="0"/>
      <w:marRight w:val="0"/>
      <w:marTop w:val="0"/>
      <w:marBottom w:val="0"/>
      <w:divBdr>
        <w:top w:val="none" w:sz="0" w:space="0" w:color="auto"/>
        <w:left w:val="none" w:sz="0" w:space="0" w:color="auto"/>
        <w:bottom w:val="none" w:sz="0" w:space="0" w:color="auto"/>
        <w:right w:val="none" w:sz="0" w:space="0" w:color="auto"/>
      </w:divBdr>
    </w:div>
    <w:div w:id="1140925287">
      <w:bodyDiv w:val="1"/>
      <w:marLeft w:val="0"/>
      <w:marRight w:val="0"/>
      <w:marTop w:val="0"/>
      <w:marBottom w:val="0"/>
      <w:divBdr>
        <w:top w:val="none" w:sz="0" w:space="0" w:color="auto"/>
        <w:left w:val="none" w:sz="0" w:space="0" w:color="auto"/>
        <w:bottom w:val="none" w:sz="0" w:space="0" w:color="auto"/>
        <w:right w:val="none" w:sz="0" w:space="0" w:color="auto"/>
      </w:divBdr>
    </w:div>
    <w:div w:id="1254631493">
      <w:bodyDiv w:val="1"/>
      <w:marLeft w:val="0"/>
      <w:marRight w:val="0"/>
      <w:marTop w:val="0"/>
      <w:marBottom w:val="0"/>
      <w:divBdr>
        <w:top w:val="none" w:sz="0" w:space="0" w:color="auto"/>
        <w:left w:val="none" w:sz="0" w:space="0" w:color="auto"/>
        <w:bottom w:val="none" w:sz="0" w:space="0" w:color="auto"/>
        <w:right w:val="none" w:sz="0" w:space="0" w:color="auto"/>
      </w:divBdr>
    </w:div>
    <w:div w:id="1359962623">
      <w:bodyDiv w:val="1"/>
      <w:marLeft w:val="0"/>
      <w:marRight w:val="0"/>
      <w:marTop w:val="0"/>
      <w:marBottom w:val="0"/>
      <w:divBdr>
        <w:top w:val="none" w:sz="0" w:space="0" w:color="auto"/>
        <w:left w:val="none" w:sz="0" w:space="0" w:color="auto"/>
        <w:bottom w:val="none" w:sz="0" w:space="0" w:color="auto"/>
        <w:right w:val="none" w:sz="0" w:space="0" w:color="auto"/>
      </w:divBdr>
    </w:div>
    <w:div w:id="1454713801">
      <w:bodyDiv w:val="1"/>
      <w:marLeft w:val="0"/>
      <w:marRight w:val="0"/>
      <w:marTop w:val="0"/>
      <w:marBottom w:val="0"/>
      <w:divBdr>
        <w:top w:val="none" w:sz="0" w:space="0" w:color="auto"/>
        <w:left w:val="none" w:sz="0" w:space="0" w:color="auto"/>
        <w:bottom w:val="none" w:sz="0" w:space="0" w:color="auto"/>
        <w:right w:val="none" w:sz="0" w:space="0" w:color="auto"/>
      </w:divBdr>
    </w:div>
    <w:div w:id="1800608694">
      <w:bodyDiv w:val="1"/>
      <w:marLeft w:val="0"/>
      <w:marRight w:val="0"/>
      <w:marTop w:val="0"/>
      <w:marBottom w:val="0"/>
      <w:divBdr>
        <w:top w:val="none" w:sz="0" w:space="0" w:color="auto"/>
        <w:left w:val="none" w:sz="0" w:space="0" w:color="auto"/>
        <w:bottom w:val="none" w:sz="0" w:space="0" w:color="auto"/>
        <w:right w:val="none" w:sz="0" w:space="0" w:color="auto"/>
      </w:divBdr>
      <w:divsChild>
        <w:div w:id="1805543505">
          <w:marLeft w:val="0"/>
          <w:marRight w:val="0"/>
          <w:marTop w:val="0"/>
          <w:marBottom w:val="0"/>
          <w:divBdr>
            <w:top w:val="none" w:sz="0" w:space="0" w:color="auto"/>
            <w:left w:val="none" w:sz="0" w:space="0" w:color="auto"/>
            <w:bottom w:val="none" w:sz="0" w:space="0" w:color="auto"/>
            <w:right w:val="none" w:sz="0" w:space="0" w:color="auto"/>
          </w:divBdr>
        </w:div>
        <w:div w:id="12072769">
          <w:marLeft w:val="0"/>
          <w:marRight w:val="0"/>
          <w:marTop w:val="0"/>
          <w:marBottom w:val="0"/>
          <w:divBdr>
            <w:top w:val="none" w:sz="0" w:space="0" w:color="auto"/>
            <w:left w:val="none" w:sz="0" w:space="0" w:color="auto"/>
            <w:bottom w:val="none" w:sz="0" w:space="0" w:color="auto"/>
            <w:right w:val="none" w:sz="0" w:space="0" w:color="auto"/>
          </w:divBdr>
        </w:div>
        <w:div w:id="14414912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B111-7FF1-45B3-B4A4-6A2A46CE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17668</Words>
  <Characters>100709</Characters>
  <Application>Microsoft Office Word</Application>
  <DocSecurity>4</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Workman</dc:creator>
  <cp:lastModifiedBy>Heather Workman</cp:lastModifiedBy>
  <cp:revision>2</cp:revision>
  <cp:lastPrinted>2018-11-09T19:47:00Z</cp:lastPrinted>
  <dcterms:created xsi:type="dcterms:W3CDTF">2018-11-09T19:47:00Z</dcterms:created>
  <dcterms:modified xsi:type="dcterms:W3CDTF">2018-11-09T19:47:00Z</dcterms:modified>
</cp:coreProperties>
</file>